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4D" w:rsidRDefault="00344A4D" w:rsidP="00344A4D">
      <w:pPr>
        <w:spacing w:before="60"/>
        <w:jc w:val="center"/>
        <w:rPr>
          <w:rFonts w:ascii="Arial" w:hAnsi="Arial" w:cs="Arial"/>
          <w:b/>
          <w:sz w:val="44"/>
          <w:szCs w:val="40"/>
        </w:rPr>
      </w:pPr>
    </w:p>
    <w:p w:rsidR="00344A4D" w:rsidRPr="00673EDB" w:rsidRDefault="00344A4D" w:rsidP="00344A4D">
      <w:pPr>
        <w:spacing w:before="60"/>
        <w:jc w:val="center"/>
        <w:rPr>
          <w:rFonts w:cstheme="minorHAnsi"/>
          <w:b/>
          <w:sz w:val="44"/>
          <w:szCs w:val="40"/>
        </w:rPr>
      </w:pPr>
      <w:r w:rsidRPr="00673EDB">
        <w:rPr>
          <w:rFonts w:cstheme="minorHAnsi"/>
          <w:b/>
          <w:sz w:val="44"/>
          <w:szCs w:val="40"/>
        </w:rPr>
        <w:t>Request for Proposal “ARRIVA SERBIA FUEL”</w:t>
      </w:r>
    </w:p>
    <w:p w:rsidR="00344A4D" w:rsidRPr="00673EDB" w:rsidRDefault="00344A4D" w:rsidP="00344A4D">
      <w:pPr>
        <w:spacing w:before="60"/>
        <w:jc w:val="center"/>
        <w:rPr>
          <w:rFonts w:cstheme="minorHAnsi"/>
          <w:b/>
          <w:sz w:val="36"/>
          <w:szCs w:val="32"/>
        </w:rPr>
      </w:pPr>
      <w:r w:rsidRPr="00673EDB">
        <w:rPr>
          <w:rFonts w:cstheme="minorHAnsi"/>
          <w:b/>
          <w:sz w:val="36"/>
          <w:szCs w:val="32"/>
        </w:rPr>
        <w:t>For the supply of Diesel – 2019/2020</w:t>
      </w:r>
    </w:p>
    <w:p w:rsidR="00344A4D" w:rsidRPr="00673EDB" w:rsidRDefault="00344A4D" w:rsidP="00344A4D">
      <w:pPr>
        <w:spacing w:before="60"/>
        <w:jc w:val="both"/>
        <w:rPr>
          <w:rFonts w:cstheme="minorHAnsi"/>
          <w:sz w:val="36"/>
          <w:szCs w:val="32"/>
        </w:rPr>
      </w:pPr>
    </w:p>
    <w:p w:rsidR="00344A4D" w:rsidRPr="00673EDB" w:rsidRDefault="00344A4D" w:rsidP="00344A4D">
      <w:pPr>
        <w:spacing w:before="60"/>
        <w:jc w:val="both"/>
        <w:rPr>
          <w:rFonts w:cstheme="minorHAnsi"/>
          <w:b/>
          <w:sz w:val="32"/>
          <w:szCs w:val="30"/>
        </w:rPr>
      </w:pPr>
      <w:r w:rsidRPr="00673EDB">
        <w:rPr>
          <w:rFonts w:cstheme="minorHAnsi"/>
          <w:b/>
          <w:sz w:val="32"/>
          <w:szCs w:val="30"/>
        </w:rPr>
        <w:t>Content</w:t>
      </w:r>
    </w:p>
    <w:p w:rsidR="00344A4D" w:rsidRPr="00673EDB" w:rsidRDefault="00344A4D" w:rsidP="00344A4D">
      <w:pPr>
        <w:pStyle w:val="ListParagraph"/>
        <w:numPr>
          <w:ilvl w:val="0"/>
          <w:numId w:val="1"/>
        </w:numPr>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Statement of Purpose</w:t>
      </w:r>
    </w:p>
    <w:p w:rsidR="00344A4D" w:rsidRPr="00673EDB" w:rsidRDefault="00344A4D" w:rsidP="00344A4D">
      <w:pPr>
        <w:pStyle w:val="ListParagraph"/>
        <w:numPr>
          <w:ilvl w:val="0"/>
          <w:numId w:val="1"/>
        </w:numPr>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Company profile</w:t>
      </w:r>
    </w:p>
    <w:p w:rsidR="00344A4D" w:rsidRPr="00673EDB" w:rsidRDefault="00344A4D" w:rsidP="00344A4D">
      <w:pPr>
        <w:pStyle w:val="ListParagraph"/>
        <w:numPr>
          <w:ilvl w:val="0"/>
          <w:numId w:val="1"/>
        </w:numPr>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Scope of Work</w:t>
      </w:r>
    </w:p>
    <w:p w:rsidR="00344A4D" w:rsidRPr="00673EDB" w:rsidRDefault="00344A4D" w:rsidP="00344A4D">
      <w:pPr>
        <w:pStyle w:val="ListParagraph"/>
        <w:numPr>
          <w:ilvl w:val="0"/>
          <w:numId w:val="1"/>
        </w:numPr>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Term of Contract</w:t>
      </w:r>
    </w:p>
    <w:p w:rsidR="00344A4D" w:rsidRPr="00673EDB" w:rsidRDefault="00344A4D" w:rsidP="00344A4D">
      <w:pPr>
        <w:pStyle w:val="ListParagraph"/>
        <w:numPr>
          <w:ilvl w:val="0"/>
          <w:numId w:val="1"/>
        </w:numPr>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Deliveries, Payments and other Contractual Conditions</w:t>
      </w:r>
    </w:p>
    <w:p w:rsidR="00344A4D" w:rsidRPr="00673EDB" w:rsidRDefault="00344A4D" w:rsidP="00344A4D">
      <w:pPr>
        <w:pStyle w:val="ListParagraph"/>
        <w:numPr>
          <w:ilvl w:val="0"/>
          <w:numId w:val="1"/>
        </w:numPr>
        <w:shd w:val="clear" w:color="auto" w:fill="FFFFFF" w:themeFill="background1"/>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Technical Specification</w:t>
      </w:r>
    </w:p>
    <w:p w:rsidR="00344A4D" w:rsidRPr="00673EDB" w:rsidRDefault="00344A4D" w:rsidP="00344A4D">
      <w:pPr>
        <w:pStyle w:val="ListParagraph"/>
        <w:numPr>
          <w:ilvl w:val="0"/>
          <w:numId w:val="1"/>
        </w:numPr>
        <w:shd w:val="clear" w:color="auto" w:fill="FFFFFF" w:themeFill="background1"/>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Proposal Preparation</w:t>
      </w:r>
    </w:p>
    <w:p w:rsidR="00344A4D" w:rsidRPr="00673EDB" w:rsidRDefault="00344A4D" w:rsidP="00344A4D">
      <w:pPr>
        <w:pStyle w:val="ListParagraph"/>
        <w:numPr>
          <w:ilvl w:val="0"/>
          <w:numId w:val="1"/>
        </w:numPr>
        <w:shd w:val="clear" w:color="auto" w:fill="FFFFFF" w:themeFill="background1"/>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Evaluation and Award Process</w:t>
      </w:r>
    </w:p>
    <w:p w:rsidR="00344A4D" w:rsidRPr="00673EDB" w:rsidRDefault="00344A4D" w:rsidP="00344A4D">
      <w:pPr>
        <w:pStyle w:val="ListParagraph"/>
        <w:numPr>
          <w:ilvl w:val="0"/>
          <w:numId w:val="1"/>
        </w:numPr>
        <w:shd w:val="clear" w:color="auto" w:fill="FFFFFF" w:themeFill="background1"/>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Process Schedule</w:t>
      </w:r>
    </w:p>
    <w:p w:rsidR="00344A4D" w:rsidRPr="00673EDB" w:rsidRDefault="00344A4D" w:rsidP="00344A4D">
      <w:pPr>
        <w:pStyle w:val="ListParagraph"/>
        <w:numPr>
          <w:ilvl w:val="0"/>
          <w:numId w:val="1"/>
        </w:numPr>
        <w:shd w:val="clear" w:color="auto" w:fill="FFFFFF" w:themeFill="background1"/>
        <w:autoSpaceDE w:val="0"/>
        <w:autoSpaceDN w:val="0"/>
        <w:adjustRightInd w:val="0"/>
        <w:spacing w:before="60" w:after="0" w:line="360" w:lineRule="auto"/>
        <w:ind w:left="1134" w:hanging="774"/>
        <w:jc w:val="both"/>
        <w:rPr>
          <w:rFonts w:asciiTheme="minorHAnsi" w:hAnsiTheme="minorHAnsi" w:cstheme="minorHAnsi"/>
          <w:i/>
          <w:sz w:val="28"/>
          <w:szCs w:val="30"/>
          <w:lang w:val="en-US"/>
        </w:rPr>
      </w:pPr>
      <w:r w:rsidRPr="00673EDB">
        <w:rPr>
          <w:rFonts w:asciiTheme="minorHAnsi" w:hAnsiTheme="minorHAnsi" w:cstheme="minorHAnsi"/>
          <w:i/>
          <w:sz w:val="28"/>
          <w:szCs w:val="30"/>
          <w:lang w:val="en-US"/>
        </w:rPr>
        <w:t>Future Correspondence/ Point of Contact</w:t>
      </w:r>
    </w:p>
    <w:p w:rsidR="00344A4D" w:rsidRPr="00673EDB" w:rsidRDefault="00344A4D" w:rsidP="00344A4D">
      <w:pPr>
        <w:autoSpaceDE w:val="0"/>
        <w:autoSpaceDN w:val="0"/>
        <w:adjustRightInd w:val="0"/>
        <w:spacing w:before="60" w:after="0" w:line="360" w:lineRule="auto"/>
        <w:jc w:val="both"/>
        <w:rPr>
          <w:rFonts w:cstheme="minorHAnsi"/>
          <w:sz w:val="32"/>
          <w:szCs w:val="30"/>
        </w:rPr>
      </w:pPr>
    </w:p>
    <w:p w:rsidR="00344A4D" w:rsidRPr="00673EDB" w:rsidRDefault="00344A4D" w:rsidP="00344A4D">
      <w:pPr>
        <w:autoSpaceDE w:val="0"/>
        <w:autoSpaceDN w:val="0"/>
        <w:adjustRightInd w:val="0"/>
        <w:spacing w:before="60" w:after="0" w:line="360" w:lineRule="auto"/>
        <w:jc w:val="both"/>
        <w:rPr>
          <w:rFonts w:cstheme="minorHAnsi"/>
          <w:sz w:val="32"/>
          <w:szCs w:val="30"/>
        </w:rPr>
      </w:pPr>
    </w:p>
    <w:p w:rsidR="00344A4D" w:rsidRPr="00673EDB" w:rsidRDefault="00344A4D" w:rsidP="00344A4D">
      <w:pPr>
        <w:autoSpaceDE w:val="0"/>
        <w:autoSpaceDN w:val="0"/>
        <w:adjustRightInd w:val="0"/>
        <w:spacing w:before="60" w:after="0" w:line="360" w:lineRule="auto"/>
        <w:jc w:val="both"/>
        <w:rPr>
          <w:rFonts w:cstheme="minorHAnsi"/>
          <w:sz w:val="32"/>
          <w:szCs w:val="30"/>
        </w:rPr>
      </w:pPr>
    </w:p>
    <w:p w:rsidR="00344A4D" w:rsidRPr="00673EDB" w:rsidRDefault="00344A4D" w:rsidP="00344A4D">
      <w:pPr>
        <w:autoSpaceDE w:val="0"/>
        <w:autoSpaceDN w:val="0"/>
        <w:adjustRightInd w:val="0"/>
        <w:spacing w:after="0" w:line="360" w:lineRule="auto"/>
        <w:jc w:val="both"/>
        <w:rPr>
          <w:rFonts w:cstheme="minorHAnsi"/>
          <w:sz w:val="32"/>
          <w:szCs w:val="30"/>
        </w:rPr>
      </w:pPr>
    </w:p>
    <w:p w:rsidR="00344A4D" w:rsidRPr="00673EDB" w:rsidRDefault="00344A4D" w:rsidP="00344A4D">
      <w:pPr>
        <w:autoSpaceDE w:val="0"/>
        <w:autoSpaceDN w:val="0"/>
        <w:adjustRightInd w:val="0"/>
        <w:spacing w:after="0" w:line="360" w:lineRule="auto"/>
        <w:jc w:val="both"/>
        <w:rPr>
          <w:rFonts w:cstheme="minorHAnsi"/>
          <w:b/>
          <w:sz w:val="32"/>
          <w:szCs w:val="30"/>
        </w:rPr>
      </w:pP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lastRenderedPageBreak/>
        <w:t>Statement of Purpose</w:t>
      </w:r>
    </w:p>
    <w:p w:rsidR="00344A4D" w:rsidRPr="00673EDB" w:rsidRDefault="00344A4D" w:rsidP="00344A4D">
      <w:pPr>
        <w:autoSpaceDE w:val="0"/>
        <w:autoSpaceDN w:val="0"/>
        <w:adjustRightInd w:val="0"/>
        <w:spacing w:after="0" w:line="360" w:lineRule="auto"/>
        <w:jc w:val="both"/>
        <w:rPr>
          <w:rFonts w:cstheme="minorHAnsi"/>
          <w:b/>
          <w:i/>
          <w:sz w:val="24"/>
        </w:rPr>
      </w:pPr>
      <w:r w:rsidRPr="00673EDB">
        <w:rPr>
          <w:rFonts w:cstheme="minorHAnsi"/>
          <w:sz w:val="24"/>
        </w:rPr>
        <w:t xml:space="preserve">This document refers to a private tender for the supply of Fuel Diesel to Arriva Serbia. </w:t>
      </w:r>
      <w:r w:rsidRPr="00673EDB">
        <w:rPr>
          <w:rFonts w:cstheme="minorHAnsi"/>
          <w:b/>
          <w:i/>
          <w:sz w:val="24"/>
        </w:rPr>
        <w:t xml:space="preserve"> </w:t>
      </w:r>
      <w:r w:rsidRPr="00673EDB">
        <w:rPr>
          <w:rFonts w:cstheme="minorHAnsi"/>
          <w:sz w:val="24"/>
        </w:rPr>
        <w:t xml:space="preserve">Participants and bidders </w:t>
      </w:r>
      <w:proofErr w:type="gramStart"/>
      <w:r w:rsidRPr="00673EDB">
        <w:rPr>
          <w:rFonts w:cstheme="minorHAnsi"/>
          <w:sz w:val="24"/>
        </w:rPr>
        <w:t>have to</w:t>
      </w:r>
      <w:proofErr w:type="gramEnd"/>
      <w:r w:rsidRPr="00673EDB">
        <w:rPr>
          <w:rFonts w:cstheme="minorHAnsi"/>
          <w:sz w:val="24"/>
        </w:rPr>
        <w:t xml:space="preserve"> comply with the standards, conditions, criteria and deadlines set out and referred to in this Request for Proposal.</w:t>
      </w:r>
    </w:p>
    <w:p w:rsidR="00344A4D" w:rsidRPr="00673EDB" w:rsidRDefault="00344A4D" w:rsidP="00344A4D">
      <w:pPr>
        <w:autoSpaceDE w:val="0"/>
        <w:autoSpaceDN w:val="0"/>
        <w:adjustRightInd w:val="0"/>
        <w:spacing w:after="0" w:line="360" w:lineRule="auto"/>
        <w:jc w:val="both"/>
        <w:rPr>
          <w:rFonts w:cstheme="minorHAnsi"/>
          <w:sz w:val="24"/>
        </w:rPr>
      </w:pP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Participants and bidders not complying (e.g. giving false and/or incomplete information, incomplete dossiers/offers and offers without the intention to be bound) are to be excluded from the tender and cannot be awarded a contract. This document, including all attachments, contains all necessary information to prepare an offer.</w:t>
      </w:r>
    </w:p>
    <w:p w:rsidR="00344A4D" w:rsidRPr="00673EDB" w:rsidRDefault="00344A4D" w:rsidP="00344A4D">
      <w:pPr>
        <w:autoSpaceDE w:val="0"/>
        <w:autoSpaceDN w:val="0"/>
        <w:adjustRightInd w:val="0"/>
        <w:spacing w:after="0" w:line="360" w:lineRule="auto"/>
        <w:jc w:val="both"/>
        <w:rPr>
          <w:rFonts w:cstheme="minorHAnsi"/>
          <w:b/>
          <w:sz w:val="24"/>
        </w:rPr>
      </w:pP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Company Profile</w:t>
      </w:r>
    </w:p>
    <w:p w:rsidR="00344A4D" w:rsidRPr="00673EDB" w:rsidRDefault="00344A4D" w:rsidP="00344A4D">
      <w:pPr>
        <w:pStyle w:val="NormalWeb"/>
        <w:shd w:val="clear" w:color="auto" w:fill="FFFFFF"/>
        <w:spacing w:after="0" w:line="360" w:lineRule="auto"/>
        <w:jc w:val="both"/>
        <w:rPr>
          <w:rFonts w:asciiTheme="minorHAnsi" w:eastAsia="Calibri" w:hAnsiTheme="minorHAnsi" w:cstheme="minorHAnsi"/>
          <w:b/>
          <w:color w:val="auto"/>
          <w:szCs w:val="22"/>
        </w:rPr>
      </w:pPr>
      <w:r w:rsidRPr="00673EDB">
        <w:rPr>
          <w:rFonts w:asciiTheme="minorHAnsi" w:eastAsia="Calibri" w:hAnsiTheme="minorHAnsi" w:cstheme="minorHAnsi"/>
          <w:b/>
          <w:color w:val="auto"/>
          <w:szCs w:val="22"/>
        </w:rPr>
        <w:t>Arriva is Europe’s largest private passenger transport company. The company carries 1.5 billion passengers every year.  </w:t>
      </w:r>
    </w:p>
    <w:p w:rsidR="00344A4D" w:rsidRPr="00673EDB" w:rsidRDefault="00344A4D" w:rsidP="00344A4D">
      <w:pPr>
        <w:pStyle w:val="NormalWeb"/>
        <w:shd w:val="clear" w:color="auto" w:fill="FFFFFF"/>
        <w:spacing w:after="0" w:line="360" w:lineRule="auto"/>
        <w:jc w:val="both"/>
        <w:rPr>
          <w:rFonts w:asciiTheme="minorHAnsi" w:eastAsia="Calibri" w:hAnsiTheme="minorHAnsi" w:cstheme="minorHAnsi"/>
          <w:b/>
          <w:color w:val="auto"/>
          <w:szCs w:val="22"/>
        </w:rPr>
      </w:pP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 xml:space="preserve">With more than 55,000 employees across 15 countries, Arriva operates a wide range of services including local buses, inter-urban coaches, local, regional and national train services, trams and light rail, waterbuses and airport-related transport services. We also operate </w:t>
      </w:r>
      <w:proofErr w:type="gramStart"/>
      <w:r w:rsidRPr="00673EDB">
        <w:rPr>
          <w:rFonts w:cstheme="minorHAnsi"/>
          <w:sz w:val="24"/>
        </w:rPr>
        <w:t>a number of</w:t>
      </w:r>
      <w:proofErr w:type="gramEnd"/>
      <w:r w:rsidRPr="00673EDB">
        <w:rPr>
          <w:rFonts w:cstheme="minorHAnsi"/>
          <w:sz w:val="24"/>
        </w:rPr>
        <w:t xml:space="preserve"> demand response and non-emergency patient transport contracts for our clients.</w:t>
      </w:r>
    </w:p>
    <w:p w:rsidR="00344A4D" w:rsidRPr="00673EDB" w:rsidRDefault="00344A4D" w:rsidP="00344A4D">
      <w:pPr>
        <w:pStyle w:val="NormalWeb"/>
        <w:shd w:val="clear" w:color="auto" w:fill="FFFFFF"/>
        <w:spacing w:after="0" w:line="360" w:lineRule="auto"/>
        <w:jc w:val="both"/>
        <w:rPr>
          <w:rFonts w:asciiTheme="minorHAnsi" w:eastAsia="Calibri" w:hAnsiTheme="minorHAnsi" w:cstheme="minorHAnsi"/>
          <w:b/>
          <w:color w:val="auto"/>
          <w:szCs w:val="22"/>
        </w:rPr>
      </w:pPr>
    </w:p>
    <w:p w:rsidR="00344A4D" w:rsidRPr="00673EDB" w:rsidRDefault="00344A4D" w:rsidP="00344A4D">
      <w:pPr>
        <w:pStyle w:val="NormalWeb"/>
        <w:shd w:val="clear" w:color="auto" w:fill="FFFFFF"/>
        <w:spacing w:after="0" w:line="360" w:lineRule="auto"/>
        <w:jc w:val="both"/>
        <w:rPr>
          <w:rFonts w:asciiTheme="minorHAnsi" w:eastAsia="Calibri" w:hAnsiTheme="minorHAnsi" w:cstheme="minorHAnsi"/>
          <w:b/>
          <w:color w:val="auto"/>
          <w:szCs w:val="22"/>
        </w:rPr>
      </w:pPr>
      <w:r w:rsidRPr="00673EDB">
        <w:rPr>
          <w:rFonts w:asciiTheme="minorHAnsi" w:eastAsia="Calibri" w:hAnsiTheme="minorHAnsi" w:cstheme="minorHAnsi"/>
          <w:b/>
          <w:color w:val="auto"/>
          <w:szCs w:val="22"/>
        </w:rPr>
        <w:t xml:space="preserve">Arriva is part of Deutsche Bahn AG, a leading worldwide provider of transport and logistics services. </w:t>
      </w:r>
    </w:p>
    <w:p w:rsidR="00344A4D" w:rsidRPr="00673EDB" w:rsidRDefault="00344A4D" w:rsidP="00344A4D">
      <w:pPr>
        <w:pStyle w:val="NormalWeb"/>
        <w:shd w:val="clear" w:color="auto" w:fill="FFFFFF"/>
        <w:spacing w:after="0" w:line="360" w:lineRule="auto"/>
        <w:jc w:val="both"/>
        <w:rPr>
          <w:rFonts w:asciiTheme="minorHAnsi" w:eastAsia="Calibri" w:hAnsiTheme="minorHAnsi" w:cstheme="minorHAnsi"/>
          <w:b/>
          <w:color w:val="auto"/>
          <w:szCs w:val="22"/>
        </w:rPr>
      </w:pP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 xml:space="preserve">As a division of Deutsche Bahn, Arriva is responsible for the growth and development of all Deutsche Bahn’s regional passenger transport outside of Germany. The Arriva group is a wholly-owned subsidiary of the global Deutsche Bahn, with a total of 298,500 employees and a turnover of 28.6 Billion Euro. </w:t>
      </w:r>
    </w:p>
    <w:p w:rsidR="00344A4D" w:rsidRPr="00673EDB" w:rsidRDefault="00344A4D" w:rsidP="00344A4D">
      <w:pPr>
        <w:autoSpaceDE w:val="0"/>
        <w:autoSpaceDN w:val="0"/>
        <w:adjustRightInd w:val="0"/>
        <w:spacing w:after="0" w:line="360" w:lineRule="auto"/>
        <w:jc w:val="both"/>
        <w:rPr>
          <w:rFonts w:cstheme="minorHAnsi"/>
          <w:sz w:val="24"/>
          <w:highlight w:val="yellow"/>
        </w:rPr>
      </w:pPr>
    </w:p>
    <w:p w:rsidR="00344A4D" w:rsidRPr="00673EDB" w:rsidRDefault="00344A4D" w:rsidP="00344A4D">
      <w:pPr>
        <w:autoSpaceDE w:val="0"/>
        <w:autoSpaceDN w:val="0"/>
        <w:adjustRightInd w:val="0"/>
        <w:spacing w:after="0" w:line="360" w:lineRule="auto"/>
        <w:jc w:val="both"/>
        <w:rPr>
          <w:rFonts w:cstheme="minorHAnsi"/>
          <w:b/>
          <w:sz w:val="24"/>
        </w:rPr>
      </w:pPr>
      <w:r w:rsidRPr="00673EDB">
        <w:rPr>
          <w:rFonts w:cstheme="minorHAnsi"/>
          <w:b/>
          <w:sz w:val="24"/>
        </w:rPr>
        <w:t xml:space="preserve">Arriva Serbia / LITAS </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Arriva has been present in Serbia since the acquisition of Veolia Transport Litas and Veolia transport Luv in May 2013. With the change of ownership, the company’s name changed to ARRIVA LITAS D.O.O. POŽAREVAC on May 21st, 2013. The ownership change didn’t influence the business activities in Serbia, where Arriva continues to develop the strategy, business goals and obligations.</w:t>
      </w:r>
    </w:p>
    <w:p w:rsidR="00344A4D" w:rsidRPr="00673EDB" w:rsidRDefault="00344A4D" w:rsidP="00344A4D">
      <w:pPr>
        <w:autoSpaceDE w:val="0"/>
        <w:autoSpaceDN w:val="0"/>
        <w:adjustRightInd w:val="0"/>
        <w:spacing w:after="0" w:line="360" w:lineRule="auto"/>
        <w:jc w:val="both"/>
        <w:rPr>
          <w:rFonts w:cstheme="minorHAnsi"/>
          <w:sz w:val="24"/>
        </w:rPr>
      </w:pP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 xml:space="preserve">Serbia Arriva operates city bus services in Belgrade, </w:t>
      </w:r>
      <w:proofErr w:type="spellStart"/>
      <w:r w:rsidRPr="00673EDB">
        <w:rPr>
          <w:rFonts w:cstheme="minorHAnsi"/>
          <w:sz w:val="24"/>
        </w:rPr>
        <w:t>Kragijevac</w:t>
      </w:r>
      <w:proofErr w:type="spellEnd"/>
      <w:r w:rsidRPr="00673EDB">
        <w:rPr>
          <w:rFonts w:cstheme="minorHAnsi"/>
          <w:sz w:val="24"/>
        </w:rPr>
        <w:t xml:space="preserve">, </w:t>
      </w:r>
      <w:proofErr w:type="spellStart"/>
      <w:r w:rsidRPr="00673EDB">
        <w:rPr>
          <w:rFonts w:cstheme="minorHAnsi"/>
          <w:sz w:val="24"/>
        </w:rPr>
        <w:t>Niš</w:t>
      </w:r>
      <w:proofErr w:type="spellEnd"/>
      <w:r w:rsidRPr="00673EDB">
        <w:rPr>
          <w:rFonts w:cstheme="minorHAnsi"/>
          <w:sz w:val="24"/>
        </w:rPr>
        <w:t xml:space="preserve"> and regional traffic in the areas of </w:t>
      </w:r>
      <w:proofErr w:type="spellStart"/>
      <w:r w:rsidRPr="00673EDB">
        <w:rPr>
          <w:rFonts w:cstheme="minorHAnsi"/>
          <w:sz w:val="24"/>
        </w:rPr>
        <w:t>Požarevac</w:t>
      </w:r>
      <w:proofErr w:type="spellEnd"/>
      <w:r w:rsidRPr="00673EDB">
        <w:rPr>
          <w:rFonts w:cstheme="minorHAnsi"/>
          <w:sz w:val="24"/>
        </w:rPr>
        <w:t xml:space="preserve">, </w:t>
      </w:r>
      <w:proofErr w:type="spellStart"/>
      <w:r w:rsidRPr="00673EDB">
        <w:rPr>
          <w:rFonts w:cstheme="minorHAnsi"/>
          <w:sz w:val="24"/>
        </w:rPr>
        <w:t>Kostolac</w:t>
      </w:r>
      <w:proofErr w:type="spellEnd"/>
      <w:r w:rsidRPr="00673EDB">
        <w:rPr>
          <w:rFonts w:cstheme="minorHAnsi"/>
          <w:sz w:val="24"/>
        </w:rPr>
        <w:t xml:space="preserve">, </w:t>
      </w:r>
      <w:proofErr w:type="spellStart"/>
      <w:r w:rsidRPr="00673EDB">
        <w:rPr>
          <w:rFonts w:cstheme="minorHAnsi"/>
          <w:sz w:val="24"/>
        </w:rPr>
        <w:t>Veliko</w:t>
      </w:r>
      <w:proofErr w:type="spellEnd"/>
      <w:r w:rsidRPr="00673EDB">
        <w:rPr>
          <w:rFonts w:cstheme="minorHAnsi"/>
          <w:sz w:val="24"/>
        </w:rPr>
        <w:t xml:space="preserve"> </w:t>
      </w:r>
      <w:proofErr w:type="spellStart"/>
      <w:r w:rsidRPr="00673EDB">
        <w:rPr>
          <w:rFonts w:cstheme="minorHAnsi"/>
          <w:sz w:val="24"/>
        </w:rPr>
        <w:t>Gradište</w:t>
      </w:r>
      <w:proofErr w:type="spellEnd"/>
      <w:r w:rsidRPr="00673EDB">
        <w:rPr>
          <w:rFonts w:cstheme="minorHAnsi"/>
          <w:sz w:val="24"/>
        </w:rPr>
        <w:t xml:space="preserve">, </w:t>
      </w:r>
      <w:proofErr w:type="spellStart"/>
      <w:proofErr w:type="gramStart"/>
      <w:r w:rsidRPr="00673EDB">
        <w:rPr>
          <w:rFonts w:cstheme="minorHAnsi"/>
          <w:sz w:val="24"/>
        </w:rPr>
        <w:t>Golubac</w:t>
      </w:r>
      <w:proofErr w:type="spellEnd"/>
      <w:r w:rsidRPr="00673EDB">
        <w:rPr>
          <w:rFonts w:cstheme="minorHAnsi"/>
          <w:sz w:val="24"/>
        </w:rPr>
        <w:t xml:space="preserve"> ,</w:t>
      </w:r>
      <w:proofErr w:type="gramEnd"/>
      <w:r w:rsidRPr="00673EDB">
        <w:rPr>
          <w:rFonts w:cstheme="minorHAnsi"/>
          <w:sz w:val="24"/>
        </w:rPr>
        <w:t xml:space="preserve"> Malo </w:t>
      </w:r>
      <w:proofErr w:type="spellStart"/>
      <w:r w:rsidRPr="00673EDB">
        <w:rPr>
          <w:rFonts w:cstheme="minorHAnsi"/>
          <w:sz w:val="24"/>
        </w:rPr>
        <w:t>Crniće</w:t>
      </w:r>
      <w:proofErr w:type="spellEnd"/>
      <w:r w:rsidRPr="00673EDB">
        <w:rPr>
          <w:rFonts w:cstheme="minorHAnsi"/>
          <w:sz w:val="24"/>
        </w:rPr>
        <w:t xml:space="preserve">, </w:t>
      </w:r>
      <w:proofErr w:type="spellStart"/>
      <w:r w:rsidRPr="00673EDB">
        <w:rPr>
          <w:rFonts w:cstheme="minorHAnsi"/>
          <w:sz w:val="24"/>
        </w:rPr>
        <w:t>Žabari</w:t>
      </w:r>
      <w:proofErr w:type="spellEnd"/>
      <w:r w:rsidRPr="00673EDB">
        <w:rPr>
          <w:rFonts w:cstheme="minorHAnsi"/>
          <w:sz w:val="24"/>
        </w:rPr>
        <w:t xml:space="preserve">, </w:t>
      </w:r>
      <w:proofErr w:type="spellStart"/>
      <w:r w:rsidRPr="00673EDB">
        <w:rPr>
          <w:rFonts w:cstheme="minorHAnsi"/>
          <w:sz w:val="24"/>
        </w:rPr>
        <w:t>Svilajnac</w:t>
      </w:r>
      <w:proofErr w:type="spellEnd"/>
      <w:r w:rsidRPr="00673EDB">
        <w:rPr>
          <w:rFonts w:cstheme="minorHAnsi"/>
          <w:sz w:val="24"/>
        </w:rPr>
        <w:t xml:space="preserve">, </w:t>
      </w:r>
      <w:proofErr w:type="spellStart"/>
      <w:r w:rsidRPr="00673EDB">
        <w:rPr>
          <w:rFonts w:cstheme="minorHAnsi"/>
          <w:sz w:val="24"/>
        </w:rPr>
        <w:t>Petrovac</w:t>
      </w:r>
      <w:proofErr w:type="spellEnd"/>
      <w:r w:rsidRPr="00673EDB">
        <w:rPr>
          <w:rFonts w:cstheme="minorHAnsi"/>
          <w:sz w:val="24"/>
        </w:rPr>
        <w:t xml:space="preserve">, </w:t>
      </w:r>
      <w:proofErr w:type="spellStart"/>
      <w:r w:rsidRPr="00673EDB">
        <w:rPr>
          <w:rFonts w:cstheme="minorHAnsi"/>
          <w:sz w:val="24"/>
        </w:rPr>
        <w:t>Kučevo</w:t>
      </w:r>
      <w:proofErr w:type="spellEnd"/>
      <w:r w:rsidRPr="00673EDB">
        <w:rPr>
          <w:rFonts w:cstheme="minorHAnsi"/>
          <w:sz w:val="24"/>
        </w:rPr>
        <w:t xml:space="preserve">, </w:t>
      </w:r>
      <w:proofErr w:type="spellStart"/>
      <w:r w:rsidRPr="00673EDB">
        <w:rPr>
          <w:rFonts w:cstheme="minorHAnsi"/>
          <w:sz w:val="24"/>
        </w:rPr>
        <w:t>Žagubica</w:t>
      </w:r>
      <w:proofErr w:type="spellEnd"/>
      <w:r w:rsidRPr="00673EDB">
        <w:rPr>
          <w:rFonts w:cstheme="minorHAnsi"/>
          <w:sz w:val="24"/>
        </w:rPr>
        <w:t xml:space="preserve"> and </w:t>
      </w:r>
      <w:proofErr w:type="spellStart"/>
      <w:r w:rsidRPr="00673EDB">
        <w:rPr>
          <w:rFonts w:cstheme="minorHAnsi"/>
          <w:sz w:val="24"/>
        </w:rPr>
        <w:t>Donji</w:t>
      </w:r>
      <w:proofErr w:type="spellEnd"/>
      <w:r w:rsidRPr="00673EDB">
        <w:rPr>
          <w:rFonts w:cstheme="minorHAnsi"/>
          <w:sz w:val="24"/>
        </w:rPr>
        <w:t xml:space="preserve"> </w:t>
      </w:r>
      <w:proofErr w:type="spellStart"/>
      <w:r w:rsidRPr="00673EDB">
        <w:rPr>
          <w:rFonts w:cstheme="minorHAnsi"/>
          <w:sz w:val="24"/>
        </w:rPr>
        <w:t>Milanovac</w:t>
      </w:r>
      <w:proofErr w:type="spellEnd"/>
      <w:r w:rsidRPr="00673EDB">
        <w:rPr>
          <w:rFonts w:cstheme="minorHAnsi"/>
          <w:sz w:val="24"/>
        </w:rPr>
        <w:t>, and international and charter traffic.</w:t>
      </w: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Scope of Work</w:t>
      </w:r>
    </w:p>
    <w:p w:rsidR="00344A4D" w:rsidRPr="00673EDB" w:rsidRDefault="00344A4D" w:rsidP="00344A4D">
      <w:pPr>
        <w:spacing w:after="0" w:line="360" w:lineRule="auto"/>
        <w:jc w:val="both"/>
        <w:rPr>
          <w:rFonts w:cstheme="minorHAnsi"/>
          <w:sz w:val="24"/>
        </w:rPr>
      </w:pPr>
      <w:r w:rsidRPr="00673EDB">
        <w:rPr>
          <w:rFonts w:cstheme="minorHAnsi"/>
          <w:sz w:val="24"/>
        </w:rPr>
        <w:t xml:space="preserve">The negotiation refers to a </w:t>
      </w:r>
      <w:proofErr w:type="gramStart"/>
      <w:r w:rsidRPr="00673EDB">
        <w:rPr>
          <w:rFonts w:cstheme="minorHAnsi"/>
          <w:b/>
          <w:sz w:val="24"/>
          <w:u w:val="single"/>
        </w:rPr>
        <w:t>2 year</w:t>
      </w:r>
      <w:proofErr w:type="gramEnd"/>
      <w:r w:rsidRPr="00673EDB">
        <w:rPr>
          <w:rFonts w:cstheme="minorHAnsi"/>
          <w:b/>
          <w:sz w:val="24"/>
          <w:u w:val="single"/>
        </w:rPr>
        <w:t xml:space="preserve"> agreement for the Supply of Diesel to Arriva Serbia</w:t>
      </w:r>
      <w:r w:rsidRPr="00673EDB">
        <w:rPr>
          <w:rFonts w:cstheme="minorHAnsi"/>
          <w:sz w:val="24"/>
        </w:rPr>
        <w:t xml:space="preserve">, with the option to extend the contract for 1 year further (see </w:t>
      </w:r>
      <w:r w:rsidRPr="00673EDB">
        <w:rPr>
          <w:rFonts w:cstheme="minorHAnsi"/>
          <w:b/>
          <w:sz w:val="24"/>
        </w:rPr>
        <w:t>4. Term of Contract</w:t>
      </w:r>
      <w:r w:rsidRPr="00673EDB">
        <w:rPr>
          <w:rFonts w:cstheme="minorHAnsi"/>
          <w:sz w:val="24"/>
        </w:rPr>
        <w:t xml:space="preserve"> below).</w:t>
      </w:r>
    </w:p>
    <w:p w:rsidR="00344A4D" w:rsidRDefault="00344A4D" w:rsidP="00344A4D">
      <w:pPr>
        <w:spacing w:after="0" w:line="360" w:lineRule="auto"/>
        <w:jc w:val="both"/>
        <w:rPr>
          <w:rFonts w:cstheme="minorHAnsi"/>
          <w:sz w:val="24"/>
        </w:rPr>
      </w:pPr>
      <w:r w:rsidRPr="00673EDB">
        <w:rPr>
          <w:rFonts w:cstheme="minorHAnsi"/>
          <w:sz w:val="24"/>
        </w:rPr>
        <w:t xml:space="preserve">This tender will be awarded according to the lowest price criteria, as defined below in point </w:t>
      </w:r>
      <w:r w:rsidRPr="00673EDB">
        <w:rPr>
          <w:rFonts w:cstheme="minorHAnsi"/>
          <w:b/>
          <w:sz w:val="24"/>
        </w:rPr>
        <w:t>8. Evaluation and Award Process.</w:t>
      </w:r>
      <w:r w:rsidRPr="00673EDB">
        <w:rPr>
          <w:rFonts w:cstheme="minorHAnsi"/>
          <w:sz w:val="24"/>
        </w:rPr>
        <w:t xml:space="preserve"> Suppliers shall quote against the following volumes and delivery locations, as specified below.</w:t>
      </w:r>
    </w:p>
    <w:p w:rsidR="00673EDB" w:rsidRPr="00673EDB" w:rsidRDefault="00673EDB" w:rsidP="00344A4D">
      <w:pPr>
        <w:spacing w:after="0" w:line="360" w:lineRule="auto"/>
        <w:jc w:val="both"/>
        <w:rPr>
          <w:rFonts w:cstheme="minorHAnsi"/>
          <w:sz w:val="24"/>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Lot Structure</w:t>
      </w:r>
    </w:p>
    <w:p w:rsidR="00344A4D" w:rsidRPr="00673EDB" w:rsidRDefault="00344A4D" w:rsidP="00344A4D">
      <w:pPr>
        <w:spacing w:after="0" w:line="360" w:lineRule="auto"/>
        <w:jc w:val="both"/>
        <w:rPr>
          <w:rFonts w:cstheme="minorHAnsi"/>
          <w:sz w:val="24"/>
        </w:rPr>
      </w:pPr>
    </w:p>
    <w:p w:rsidR="00344A4D" w:rsidRPr="00673EDB" w:rsidRDefault="00344A4D" w:rsidP="00344A4D">
      <w:pPr>
        <w:spacing w:after="0" w:line="360" w:lineRule="auto"/>
        <w:jc w:val="both"/>
        <w:rPr>
          <w:rFonts w:cstheme="minorHAnsi"/>
          <w:sz w:val="24"/>
        </w:rPr>
      </w:pPr>
      <w:r w:rsidRPr="00673EDB">
        <w:rPr>
          <w:rFonts w:cstheme="minorHAnsi"/>
          <w:b/>
          <w:sz w:val="24"/>
          <w:u w:val="single"/>
        </w:rPr>
        <w:t>The tender will be divided in 2 lots, one lot for fuel bulk deliveries and another lot for fuel stations refilling</w:t>
      </w:r>
      <w:r w:rsidRPr="00673EDB">
        <w:rPr>
          <w:rFonts w:cstheme="minorHAnsi"/>
          <w:b/>
          <w:sz w:val="24"/>
        </w:rPr>
        <w:t xml:space="preserve">. </w:t>
      </w:r>
      <w:r w:rsidRPr="00673EDB">
        <w:rPr>
          <w:rFonts w:cstheme="minorHAnsi"/>
          <w:sz w:val="24"/>
        </w:rPr>
        <w:t>Potential Suppliers can bid for 1 or 2 lots independently.</w:t>
      </w:r>
    </w:p>
    <w:p w:rsidR="00344A4D" w:rsidRPr="00673EDB" w:rsidRDefault="00344A4D" w:rsidP="00344A4D">
      <w:pPr>
        <w:spacing w:after="0" w:line="360" w:lineRule="auto"/>
        <w:jc w:val="both"/>
        <w:rPr>
          <w:rFonts w:cstheme="minorHAnsi"/>
          <w:sz w:val="24"/>
          <w:highlight w:val="yellow"/>
        </w:rPr>
      </w:pPr>
    </w:p>
    <w:p w:rsidR="00344A4D" w:rsidRPr="00673EDB" w:rsidRDefault="00344A4D" w:rsidP="00344A4D">
      <w:pPr>
        <w:spacing w:after="0" w:line="360" w:lineRule="auto"/>
        <w:jc w:val="both"/>
        <w:rPr>
          <w:rFonts w:cstheme="minorHAnsi"/>
          <w:sz w:val="24"/>
        </w:rPr>
      </w:pPr>
      <w:r w:rsidRPr="00673EDB">
        <w:rPr>
          <w:rFonts w:cstheme="minorHAnsi"/>
          <w:sz w:val="24"/>
        </w:rPr>
        <w:t xml:space="preserve">The diesel volumes above can suffer variations of more or 10% of the total volumes and should </w:t>
      </w:r>
      <w:proofErr w:type="gramStart"/>
      <w:r w:rsidRPr="00673EDB">
        <w:rPr>
          <w:rFonts w:cstheme="minorHAnsi"/>
          <w:sz w:val="24"/>
        </w:rPr>
        <w:t>be seen as</w:t>
      </w:r>
      <w:proofErr w:type="gramEnd"/>
      <w:r w:rsidRPr="00673EDB">
        <w:rPr>
          <w:rFonts w:cstheme="minorHAnsi"/>
          <w:sz w:val="24"/>
        </w:rPr>
        <w:t xml:space="preserve"> indicative rather than binding. Diesel volumes can also vary due to business loss which should NOT impact agreed prices and conditions. </w:t>
      </w:r>
    </w:p>
    <w:p w:rsidR="00344A4D" w:rsidRPr="00673EDB" w:rsidRDefault="00344A4D" w:rsidP="00344A4D">
      <w:pPr>
        <w:spacing w:after="0" w:line="360" w:lineRule="auto"/>
        <w:jc w:val="both"/>
        <w:rPr>
          <w:rFonts w:cstheme="minorHAnsi"/>
          <w:sz w:val="24"/>
          <w:highlight w:val="yellow"/>
        </w:rPr>
      </w:pPr>
    </w:p>
    <w:p w:rsidR="00344A4D" w:rsidRPr="00673EDB" w:rsidRDefault="00344A4D" w:rsidP="00344A4D">
      <w:pPr>
        <w:spacing w:after="0" w:line="360" w:lineRule="auto"/>
        <w:jc w:val="both"/>
        <w:rPr>
          <w:rFonts w:cstheme="minorHAnsi"/>
          <w:sz w:val="24"/>
          <w:highlight w:val="yellow"/>
        </w:rPr>
      </w:pPr>
    </w:p>
    <w:p w:rsidR="00344A4D" w:rsidRPr="00673EDB" w:rsidRDefault="00344A4D" w:rsidP="00344A4D">
      <w:pPr>
        <w:spacing w:after="0" w:line="360" w:lineRule="auto"/>
        <w:jc w:val="both"/>
        <w:rPr>
          <w:rFonts w:cstheme="minorHAnsi"/>
          <w:b/>
          <w:sz w:val="28"/>
        </w:rPr>
      </w:pPr>
      <w:r w:rsidRPr="00673EDB">
        <w:rPr>
          <w:rFonts w:cstheme="minorHAnsi"/>
          <w:b/>
          <w:sz w:val="28"/>
        </w:rPr>
        <w:t>LOT 1: BULK FUEL DELIVERIES</w:t>
      </w:r>
    </w:p>
    <w:p w:rsidR="00344A4D" w:rsidRPr="00673EDB" w:rsidRDefault="00344A4D" w:rsidP="00344A4D">
      <w:pPr>
        <w:spacing w:after="0" w:line="360" w:lineRule="auto"/>
        <w:jc w:val="both"/>
        <w:rPr>
          <w:rFonts w:cstheme="minorHAnsi"/>
          <w:b/>
          <w:sz w:val="24"/>
        </w:rPr>
      </w:pPr>
      <w:r w:rsidRPr="00673EDB">
        <w:rPr>
          <w:rFonts w:cstheme="minorHAnsi"/>
          <w:b/>
          <w:sz w:val="24"/>
        </w:rPr>
        <w:t>a) Arriva Serbia Fuel Volumes per Depot/ Location</w:t>
      </w:r>
    </w:p>
    <w:p w:rsidR="00344A4D" w:rsidRPr="00673EDB" w:rsidRDefault="00344A4D" w:rsidP="00344A4D">
      <w:pPr>
        <w:spacing w:after="0" w:line="360" w:lineRule="auto"/>
        <w:jc w:val="both"/>
        <w:rPr>
          <w:rFonts w:cstheme="minorHAnsi"/>
          <w:b/>
          <w:sz w:val="24"/>
        </w:rPr>
      </w:pPr>
    </w:p>
    <w:tbl>
      <w:tblPr>
        <w:tblStyle w:val="TableGrid"/>
        <w:tblW w:w="9923" w:type="dxa"/>
        <w:tblInd w:w="-34" w:type="dxa"/>
        <w:tblLook w:val="04A0" w:firstRow="1" w:lastRow="0" w:firstColumn="1" w:lastColumn="0" w:noHBand="0" w:noVBand="1"/>
      </w:tblPr>
      <w:tblGrid>
        <w:gridCol w:w="1702"/>
        <w:gridCol w:w="2409"/>
        <w:gridCol w:w="993"/>
        <w:gridCol w:w="1559"/>
        <w:gridCol w:w="1417"/>
        <w:gridCol w:w="1843"/>
      </w:tblGrid>
      <w:tr w:rsidR="00344A4D" w:rsidRPr="00673EDB" w:rsidTr="00415333">
        <w:tc>
          <w:tcPr>
            <w:tcW w:w="1702"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Depot</w:t>
            </w:r>
          </w:p>
        </w:tc>
        <w:tc>
          <w:tcPr>
            <w:tcW w:w="2409"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Address</w:t>
            </w:r>
          </w:p>
        </w:tc>
        <w:tc>
          <w:tcPr>
            <w:tcW w:w="993"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ZIP Code</w:t>
            </w:r>
          </w:p>
        </w:tc>
        <w:tc>
          <w:tcPr>
            <w:tcW w:w="1559"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Tank</w:t>
            </w:r>
          </w:p>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 xml:space="preserve"> Volume (Lt)</w:t>
            </w:r>
          </w:p>
        </w:tc>
        <w:tc>
          <w:tcPr>
            <w:tcW w:w="1417"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 xml:space="preserve">Est. Annual </w:t>
            </w:r>
          </w:p>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No.  Orders</w:t>
            </w:r>
          </w:p>
        </w:tc>
        <w:tc>
          <w:tcPr>
            <w:tcW w:w="1843"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Estimated</w:t>
            </w:r>
          </w:p>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Annual Volume (Lt)</w:t>
            </w:r>
          </w:p>
        </w:tc>
      </w:tr>
      <w:tr w:rsidR="00344A4D" w:rsidRPr="00673EDB" w:rsidTr="00415333">
        <w:tc>
          <w:tcPr>
            <w:tcW w:w="1702" w:type="dxa"/>
          </w:tcPr>
          <w:p w:rsidR="00344A4D" w:rsidRPr="00673EDB" w:rsidRDefault="00344A4D" w:rsidP="00415333">
            <w:pPr>
              <w:rPr>
                <w:rFonts w:cstheme="minorHAnsi"/>
                <w:sz w:val="24"/>
                <w:lang w:val="en-US"/>
              </w:rPr>
            </w:pPr>
            <w:r w:rsidRPr="00673EDB">
              <w:rPr>
                <w:rFonts w:cstheme="minorHAnsi"/>
                <w:sz w:val="24"/>
                <w:lang w:val="en-US"/>
              </w:rPr>
              <w:t xml:space="preserve">Požarevac </w:t>
            </w:r>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Moše</w:t>
            </w:r>
            <w:proofErr w:type="spellEnd"/>
            <w:r w:rsidRPr="00673EDB">
              <w:rPr>
                <w:rFonts w:cstheme="minorHAnsi"/>
                <w:sz w:val="20"/>
                <w:lang w:val="en-US"/>
              </w:rPr>
              <w:t xml:space="preserve"> </w:t>
            </w:r>
            <w:proofErr w:type="spellStart"/>
            <w:r w:rsidRPr="00673EDB">
              <w:rPr>
                <w:rFonts w:cstheme="minorHAnsi"/>
                <w:sz w:val="20"/>
                <w:lang w:val="en-US"/>
              </w:rPr>
              <w:t>Pijade</w:t>
            </w:r>
            <w:proofErr w:type="spellEnd"/>
            <w:r w:rsidRPr="00673EDB">
              <w:rPr>
                <w:rFonts w:cstheme="minorHAnsi"/>
                <w:sz w:val="20"/>
                <w:lang w:val="en-US"/>
              </w:rPr>
              <w:t xml:space="preserve"> 9</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12000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50.000</w:t>
            </w:r>
          </w:p>
        </w:tc>
        <w:tc>
          <w:tcPr>
            <w:tcW w:w="1417" w:type="dxa"/>
            <w:vAlign w:val="center"/>
          </w:tcPr>
          <w:p w:rsidR="00344A4D" w:rsidRPr="00673EDB" w:rsidRDefault="00546E58" w:rsidP="00415333">
            <w:pPr>
              <w:jc w:val="center"/>
              <w:rPr>
                <w:rFonts w:cstheme="minorHAnsi"/>
                <w:sz w:val="24"/>
                <w:lang w:val="en-US"/>
              </w:rPr>
            </w:pPr>
            <w:r>
              <w:rPr>
                <w:rFonts w:cstheme="minorHAnsi"/>
                <w:sz w:val="24"/>
                <w:lang w:val="en-US"/>
              </w:rPr>
              <w:t>35</w:t>
            </w:r>
            <w:r w:rsidR="00D05FA8">
              <w:rPr>
                <w:rFonts w:cstheme="minorHAnsi"/>
                <w:sz w:val="24"/>
                <w:lang w:val="en-US"/>
              </w:rPr>
              <w:t>/30000lit</w:t>
            </w:r>
          </w:p>
        </w:tc>
        <w:tc>
          <w:tcPr>
            <w:tcW w:w="1843" w:type="dxa"/>
            <w:vAlign w:val="center"/>
          </w:tcPr>
          <w:p w:rsidR="00344A4D" w:rsidRPr="00673EDB" w:rsidRDefault="00344A4D" w:rsidP="00415333">
            <w:pPr>
              <w:jc w:val="right"/>
              <w:rPr>
                <w:rFonts w:cstheme="minorHAnsi"/>
                <w:sz w:val="24"/>
                <w:lang w:val="en-US"/>
              </w:rPr>
            </w:pPr>
            <w:r w:rsidRPr="00673EDB">
              <w:rPr>
                <w:rFonts w:cstheme="minorHAnsi"/>
                <w:sz w:val="24"/>
                <w:lang w:val="en-US"/>
              </w:rPr>
              <w:t>1.</w:t>
            </w:r>
            <w:r w:rsidR="00546E58">
              <w:rPr>
                <w:rFonts w:cstheme="minorHAnsi"/>
                <w:sz w:val="24"/>
                <w:lang w:val="en-US"/>
              </w:rPr>
              <w:t>050</w:t>
            </w:r>
            <w:r w:rsidRPr="00673EDB">
              <w:rPr>
                <w:rFonts w:cstheme="minorHAnsi"/>
                <w:sz w:val="24"/>
                <w:lang w:val="en-US"/>
              </w:rPr>
              <w:t>.000</w:t>
            </w:r>
          </w:p>
        </w:tc>
      </w:tr>
      <w:tr w:rsidR="00344A4D" w:rsidRPr="00673EDB" w:rsidTr="00415333">
        <w:tc>
          <w:tcPr>
            <w:tcW w:w="1702" w:type="dxa"/>
          </w:tcPr>
          <w:p w:rsidR="00344A4D" w:rsidRPr="00673EDB" w:rsidRDefault="00344A4D" w:rsidP="00415333">
            <w:pPr>
              <w:rPr>
                <w:rFonts w:cstheme="minorHAnsi"/>
                <w:sz w:val="24"/>
                <w:lang w:val="en-US"/>
              </w:rPr>
            </w:pPr>
            <w:proofErr w:type="spellStart"/>
            <w:r w:rsidRPr="00673EDB">
              <w:rPr>
                <w:rFonts w:cstheme="minorHAnsi"/>
                <w:sz w:val="24"/>
                <w:lang w:val="en-US"/>
              </w:rPr>
              <w:t>Kragujevac</w:t>
            </w:r>
            <w:proofErr w:type="spellEnd"/>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Dragoslava</w:t>
            </w:r>
            <w:proofErr w:type="spellEnd"/>
            <w:r w:rsidRPr="00673EDB">
              <w:rPr>
                <w:rFonts w:cstheme="minorHAnsi"/>
                <w:sz w:val="20"/>
                <w:lang w:val="en-US"/>
              </w:rPr>
              <w:t xml:space="preserve"> </w:t>
            </w:r>
            <w:proofErr w:type="spellStart"/>
            <w:r w:rsidRPr="00673EDB">
              <w:rPr>
                <w:rFonts w:cstheme="minorHAnsi"/>
                <w:sz w:val="20"/>
                <w:lang w:val="en-US"/>
              </w:rPr>
              <w:t>Srejovića</w:t>
            </w:r>
            <w:proofErr w:type="spellEnd"/>
            <w:r w:rsidRPr="00673EDB">
              <w:rPr>
                <w:rFonts w:cstheme="minorHAnsi"/>
                <w:sz w:val="20"/>
                <w:lang w:val="en-US"/>
              </w:rPr>
              <w:t xml:space="preserve"> 66 </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34000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20.000</w:t>
            </w:r>
          </w:p>
        </w:tc>
        <w:tc>
          <w:tcPr>
            <w:tcW w:w="1417" w:type="dxa"/>
            <w:vAlign w:val="center"/>
          </w:tcPr>
          <w:p w:rsidR="00344A4D" w:rsidRPr="00673EDB" w:rsidRDefault="00546E58" w:rsidP="00415333">
            <w:pPr>
              <w:jc w:val="center"/>
              <w:rPr>
                <w:rFonts w:cstheme="minorHAnsi"/>
                <w:sz w:val="24"/>
                <w:lang w:val="en-US"/>
              </w:rPr>
            </w:pPr>
            <w:r>
              <w:rPr>
                <w:rFonts w:cstheme="minorHAnsi"/>
                <w:sz w:val="24"/>
                <w:lang w:val="en-US"/>
              </w:rPr>
              <w:t>82</w:t>
            </w:r>
            <w:r w:rsidR="00D05FA8">
              <w:rPr>
                <w:rFonts w:cstheme="minorHAnsi"/>
                <w:sz w:val="24"/>
                <w:lang w:val="en-US"/>
              </w:rPr>
              <w:t>/15000lit</w:t>
            </w:r>
          </w:p>
        </w:tc>
        <w:tc>
          <w:tcPr>
            <w:tcW w:w="1843" w:type="dxa"/>
            <w:vAlign w:val="center"/>
          </w:tcPr>
          <w:p w:rsidR="00344A4D" w:rsidRPr="00673EDB" w:rsidRDefault="00546E58" w:rsidP="00415333">
            <w:pPr>
              <w:jc w:val="right"/>
              <w:rPr>
                <w:rFonts w:cstheme="minorHAnsi"/>
                <w:sz w:val="24"/>
                <w:lang w:val="en-US"/>
              </w:rPr>
            </w:pPr>
            <w:r>
              <w:rPr>
                <w:rFonts w:cstheme="minorHAnsi"/>
                <w:sz w:val="24"/>
                <w:lang w:val="en-US"/>
              </w:rPr>
              <w:t>1.230</w:t>
            </w:r>
            <w:r w:rsidR="00344A4D" w:rsidRPr="00673EDB">
              <w:rPr>
                <w:rFonts w:cstheme="minorHAnsi"/>
                <w:sz w:val="24"/>
                <w:lang w:val="en-US"/>
              </w:rPr>
              <w:t>.000</w:t>
            </w:r>
          </w:p>
        </w:tc>
      </w:tr>
      <w:tr w:rsidR="00344A4D" w:rsidRPr="00673EDB" w:rsidTr="00415333">
        <w:tc>
          <w:tcPr>
            <w:tcW w:w="1702" w:type="dxa"/>
          </w:tcPr>
          <w:p w:rsidR="00344A4D" w:rsidRPr="00673EDB" w:rsidRDefault="00344A4D" w:rsidP="00415333">
            <w:pPr>
              <w:rPr>
                <w:rFonts w:cstheme="minorHAnsi"/>
                <w:sz w:val="24"/>
                <w:lang w:val="en-US"/>
              </w:rPr>
            </w:pPr>
            <w:proofErr w:type="spellStart"/>
            <w:r w:rsidRPr="00673EDB">
              <w:rPr>
                <w:rFonts w:cstheme="minorHAnsi"/>
                <w:sz w:val="24"/>
                <w:lang w:val="en-US"/>
              </w:rPr>
              <w:t>Svilajnac</w:t>
            </w:r>
            <w:proofErr w:type="spellEnd"/>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Kralja</w:t>
            </w:r>
            <w:proofErr w:type="spellEnd"/>
            <w:r w:rsidRPr="00673EDB">
              <w:rPr>
                <w:rFonts w:cstheme="minorHAnsi"/>
                <w:sz w:val="20"/>
                <w:lang w:val="en-US"/>
              </w:rPr>
              <w:t xml:space="preserve"> Petra I bb</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35210</w:t>
            </w:r>
          </w:p>
        </w:tc>
        <w:tc>
          <w:tcPr>
            <w:tcW w:w="1559" w:type="dxa"/>
            <w:vAlign w:val="center"/>
          </w:tcPr>
          <w:p w:rsidR="00344A4D" w:rsidRPr="00673EDB" w:rsidRDefault="00D05FA8" w:rsidP="00415333">
            <w:pPr>
              <w:jc w:val="center"/>
              <w:rPr>
                <w:rFonts w:cstheme="minorHAnsi"/>
                <w:sz w:val="24"/>
                <w:lang w:val="en-US"/>
              </w:rPr>
            </w:pPr>
            <w:r>
              <w:rPr>
                <w:rFonts w:cstheme="minorHAnsi"/>
                <w:sz w:val="24"/>
                <w:lang w:val="en-US"/>
              </w:rPr>
              <w:t>15</w:t>
            </w:r>
            <w:r w:rsidR="00344A4D" w:rsidRPr="00673EDB">
              <w:rPr>
                <w:rFonts w:cstheme="minorHAnsi"/>
                <w:sz w:val="24"/>
                <w:lang w:val="en-US"/>
              </w:rPr>
              <w:t>.000</w:t>
            </w:r>
          </w:p>
        </w:tc>
        <w:tc>
          <w:tcPr>
            <w:tcW w:w="1417" w:type="dxa"/>
            <w:vAlign w:val="center"/>
          </w:tcPr>
          <w:p w:rsidR="00344A4D" w:rsidRPr="00673EDB" w:rsidRDefault="00546E58" w:rsidP="00415333">
            <w:pPr>
              <w:jc w:val="center"/>
              <w:rPr>
                <w:rFonts w:cstheme="minorHAnsi"/>
                <w:sz w:val="24"/>
                <w:lang w:val="en-US"/>
              </w:rPr>
            </w:pPr>
            <w:r>
              <w:rPr>
                <w:rFonts w:cstheme="minorHAnsi"/>
                <w:sz w:val="24"/>
                <w:lang w:val="en-US"/>
              </w:rPr>
              <w:t>2</w:t>
            </w:r>
            <w:r w:rsidR="00D05FA8">
              <w:rPr>
                <w:rFonts w:cstheme="minorHAnsi"/>
                <w:sz w:val="24"/>
                <w:lang w:val="en-US"/>
              </w:rPr>
              <w:t>/10000lit</w:t>
            </w:r>
          </w:p>
        </w:tc>
        <w:tc>
          <w:tcPr>
            <w:tcW w:w="1843" w:type="dxa"/>
            <w:vAlign w:val="center"/>
          </w:tcPr>
          <w:p w:rsidR="00344A4D" w:rsidRPr="00673EDB" w:rsidRDefault="00546E58" w:rsidP="00415333">
            <w:pPr>
              <w:jc w:val="right"/>
              <w:rPr>
                <w:rFonts w:cstheme="minorHAnsi"/>
                <w:sz w:val="24"/>
                <w:lang w:val="en-US"/>
              </w:rPr>
            </w:pPr>
            <w:r>
              <w:rPr>
                <w:rFonts w:cstheme="minorHAnsi"/>
                <w:sz w:val="24"/>
                <w:lang w:val="en-US"/>
              </w:rPr>
              <w:t>2</w:t>
            </w:r>
            <w:r w:rsidR="00344A4D" w:rsidRPr="00673EDB">
              <w:rPr>
                <w:rFonts w:cstheme="minorHAnsi"/>
                <w:sz w:val="24"/>
                <w:lang w:val="en-US"/>
              </w:rPr>
              <w:t>0.000</w:t>
            </w:r>
          </w:p>
        </w:tc>
      </w:tr>
      <w:tr w:rsidR="00344A4D" w:rsidRPr="00673EDB" w:rsidTr="00415333">
        <w:tc>
          <w:tcPr>
            <w:tcW w:w="1702" w:type="dxa"/>
          </w:tcPr>
          <w:p w:rsidR="00344A4D" w:rsidRPr="00673EDB" w:rsidRDefault="00344A4D" w:rsidP="00415333">
            <w:pPr>
              <w:rPr>
                <w:rFonts w:cstheme="minorHAnsi"/>
                <w:sz w:val="24"/>
                <w:lang w:val="en-US"/>
              </w:rPr>
            </w:pPr>
            <w:r w:rsidRPr="00673EDB">
              <w:rPr>
                <w:rFonts w:cstheme="minorHAnsi"/>
                <w:sz w:val="24"/>
                <w:lang w:val="en-US"/>
              </w:rPr>
              <w:t>Belgrade</w:t>
            </w:r>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Zrenjaninski</w:t>
            </w:r>
            <w:proofErr w:type="spellEnd"/>
            <w:r w:rsidRPr="00673EDB">
              <w:rPr>
                <w:rFonts w:cstheme="minorHAnsi"/>
                <w:sz w:val="20"/>
                <w:lang w:val="en-US"/>
              </w:rPr>
              <w:t xml:space="preserve"> put 86m</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11000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50.000</w:t>
            </w:r>
          </w:p>
        </w:tc>
        <w:tc>
          <w:tcPr>
            <w:tcW w:w="1417" w:type="dxa"/>
            <w:vAlign w:val="center"/>
          </w:tcPr>
          <w:p w:rsidR="00344A4D" w:rsidRPr="00673EDB" w:rsidRDefault="00546E58" w:rsidP="00415333">
            <w:pPr>
              <w:jc w:val="center"/>
              <w:rPr>
                <w:rFonts w:cstheme="minorHAnsi"/>
                <w:sz w:val="24"/>
                <w:lang w:val="en-US"/>
              </w:rPr>
            </w:pPr>
            <w:r>
              <w:rPr>
                <w:rFonts w:cstheme="minorHAnsi"/>
                <w:sz w:val="24"/>
                <w:lang w:val="en-US"/>
              </w:rPr>
              <w:t>96</w:t>
            </w:r>
            <w:r w:rsidR="00D05FA8">
              <w:rPr>
                <w:rFonts w:cstheme="minorHAnsi"/>
                <w:sz w:val="24"/>
                <w:lang w:val="en-US"/>
              </w:rPr>
              <w:t>/30000lit</w:t>
            </w:r>
          </w:p>
        </w:tc>
        <w:tc>
          <w:tcPr>
            <w:tcW w:w="1843" w:type="dxa"/>
            <w:vAlign w:val="center"/>
          </w:tcPr>
          <w:p w:rsidR="00344A4D" w:rsidRPr="00673EDB" w:rsidRDefault="00546E58" w:rsidP="00415333">
            <w:pPr>
              <w:jc w:val="right"/>
              <w:rPr>
                <w:rFonts w:cstheme="minorHAnsi"/>
                <w:sz w:val="24"/>
                <w:lang w:val="en-US"/>
              </w:rPr>
            </w:pPr>
            <w:r>
              <w:rPr>
                <w:rFonts w:cstheme="minorHAnsi"/>
                <w:sz w:val="24"/>
                <w:lang w:val="en-US"/>
              </w:rPr>
              <w:t>2</w:t>
            </w:r>
            <w:r w:rsidR="00344A4D" w:rsidRPr="00673EDB">
              <w:rPr>
                <w:rFonts w:cstheme="minorHAnsi"/>
                <w:sz w:val="24"/>
                <w:lang w:val="en-US"/>
              </w:rPr>
              <w:t>.</w:t>
            </w:r>
            <w:r>
              <w:rPr>
                <w:rFonts w:cstheme="minorHAnsi"/>
                <w:sz w:val="24"/>
                <w:lang w:val="en-US"/>
              </w:rPr>
              <w:t>8</w:t>
            </w:r>
            <w:r w:rsidR="00344A4D" w:rsidRPr="00673EDB">
              <w:rPr>
                <w:rFonts w:cstheme="minorHAnsi"/>
                <w:sz w:val="24"/>
                <w:lang w:val="en-US"/>
              </w:rPr>
              <w:t>80.000</w:t>
            </w:r>
          </w:p>
        </w:tc>
      </w:tr>
      <w:tr w:rsidR="00344A4D" w:rsidRPr="00673EDB" w:rsidTr="00415333">
        <w:tc>
          <w:tcPr>
            <w:tcW w:w="1702" w:type="dxa"/>
          </w:tcPr>
          <w:p w:rsidR="00344A4D" w:rsidRPr="00673EDB" w:rsidRDefault="00344A4D" w:rsidP="00415333">
            <w:pPr>
              <w:rPr>
                <w:rFonts w:cstheme="minorHAnsi"/>
                <w:sz w:val="24"/>
                <w:lang w:val="en-US"/>
              </w:rPr>
            </w:pPr>
            <w:proofErr w:type="spellStart"/>
            <w:r w:rsidRPr="00673EDB">
              <w:rPr>
                <w:rFonts w:cstheme="minorHAnsi"/>
                <w:sz w:val="24"/>
                <w:lang w:val="en-US"/>
              </w:rPr>
              <w:t>Niš</w:t>
            </w:r>
            <w:proofErr w:type="spellEnd"/>
          </w:p>
        </w:tc>
        <w:tc>
          <w:tcPr>
            <w:tcW w:w="2409" w:type="dxa"/>
          </w:tcPr>
          <w:p w:rsidR="00344A4D" w:rsidRPr="00673EDB" w:rsidRDefault="00344A4D" w:rsidP="00415333">
            <w:pPr>
              <w:rPr>
                <w:rFonts w:cstheme="minorHAnsi"/>
                <w:sz w:val="20"/>
                <w:lang w:val="en-US"/>
              </w:rPr>
            </w:pPr>
            <w:r w:rsidRPr="00673EDB">
              <w:rPr>
                <w:rFonts w:cstheme="minorHAnsi"/>
                <w:sz w:val="20"/>
                <w:lang w:val="en-US"/>
              </w:rPr>
              <w:t xml:space="preserve">Ivana </w:t>
            </w:r>
            <w:proofErr w:type="spellStart"/>
            <w:r w:rsidRPr="00673EDB">
              <w:rPr>
                <w:rFonts w:cstheme="minorHAnsi"/>
                <w:sz w:val="20"/>
                <w:lang w:val="en-US"/>
              </w:rPr>
              <w:t>Milutinovića</w:t>
            </w:r>
            <w:proofErr w:type="spellEnd"/>
            <w:r w:rsidRPr="00673EDB">
              <w:rPr>
                <w:rFonts w:cstheme="minorHAnsi"/>
                <w:sz w:val="20"/>
                <w:lang w:val="en-US"/>
              </w:rPr>
              <w:t xml:space="preserve"> 30</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18000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50.000</w:t>
            </w:r>
          </w:p>
        </w:tc>
        <w:tc>
          <w:tcPr>
            <w:tcW w:w="1417"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3</w:t>
            </w:r>
            <w:r w:rsidR="00546E58">
              <w:rPr>
                <w:rFonts w:cstheme="minorHAnsi"/>
                <w:sz w:val="24"/>
                <w:lang w:val="en-US"/>
              </w:rPr>
              <w:t>6</w:t>
            </w:r>
            <w:r w:rsidR="00D05FA8">
              <w:rPr>
                <w:rFonts w:cstheme="minorHAnsi"/>
                <w:sz w:val="24"/>
                <w:lang w:val="en-US"/>
              </w:rPr>
              <w:t>/30000lit</w:t>
            </w:r>
          </w:p>
        </w:tc>
        <w:tc>
          <w:tcPr>
            <w:tcW w:w="1843" w:type="dxa"/>
            <w:vAlign w:val="center"/>
          </w:tcPr>
          <w:p w:rsidR="00344A4D" w:rsidRPr="00673EDB" w:rsidRDefault="00546E58" w:rsidP="00415333">
            <w:pPr>
              <w:jc w:val="right"/>
              <w:rPr>
                <w:rFonts w:cstheme="minorHAnsi"/>
                <w:sz w:val="24"/>
                <w:lang w:val="en-US"/>
              </w:rPr>
            </w:pPr>
            <w:r>
              <w:rPr>
                <w:rFonts w:cstheme="minorHAnsi"/>
                <w:sz w:val="24"/>
                <w:lang w:val="en-US"/>
              </w:rPr>
              <w:t>1.08</w:t>
            </w:r>
            <w:r w:rsidR="00344A4D" w:rsidRPr="00673EDB">
              <w:rPr>
                <w:rFonts w:cstheme="minorHAnsi"/>
                <w:sz w:val="24"/>
                <w:lang w:val="en-US"/>
              </w:rPr>
              <w:t>0.000</w:t>
            </w:r>
          </w:p>
        </w:tc>
      </w:tr>
      <w:tr w:rsidR="00344A4D" w:rsidRPr="00673EDB" w:rsidTr="00415333">
        <w:tc>
          <w:tcPr>
            <w:tcW w:w="1702" w:type="dxa"/>
            <w:vAlign w:val="bottom"/>
          </w:tcPr>
          <w:p w:rsidR="00344A4D" w:rsidRPr="00673EDB" w:rsidRDefault="00344A4D" w:rsidP="00415333">
            <w:pPr>
              <w:jc w:val="center"/>
              <w:rPr>
                <w:rFonts w:cstheme="minorHAnsi"/>
                <w:b/>
                <w:sz w:val="24"/>
                <w:lang w:val="en-US"/>
              </w:rPr>
            </w:pPr>
            <w:r w:rsidRPr="00673EDB">
              <w:rPr>
                <w:rFonts w:cstheme="minorHAnsi"/>
                <w:b/>
                <w:sz w:val="24"/>
                <w:lang w:val="en-US"/>
              </w:rPr>
              <w:t>TOTAL</w:t>
            </w:r>
          </w:p>
        </w:tc>
        <w:tc>
          <w:tcPr>
            <w:tcW w:w="2409" w:type="dxa"/>
          </w:tcPr>
          <w:p w:rsidR="00344A4D" w:rsidRPr="00673EDB" w:rsidRDefault="00344A4D" w:rsidP="00415333">
            <w:pPr>
              <w:pStyle w:val="ListParagraph"/>
              <w:spacing w:line="360" w:lineRule="auto"/>
              <w:ind w:left="0"/>
              <w:jc w:val="both"/>
              <w:rPr>
                <w:rFonts w:asciiTheme="minorHAnsi" w:hAnsiTheme="minorHAnsi" w:cstheme="minorHAnsi"/>
                <w:b/>
                <w:sz w:val="24"/>
                <w:lang w:val="en-US"/>
              </w:rPr>
            </w:pPr>
          </w:p>
        </w:tc>
        <w:tc>
          <w:tcPr>
            <w:tcW w:w="993" w:type="dxa"/>
            <w:vAlign w:val="center"/>
          </w:tcPr>
          <w:p w:rsidR="00344A4D" w:rsidRPr="00673EDB" w:rsidRDefault="00344A4D" w:rsidP="00415333">
            <w:pPr>
              <w:pStyle w:val="ListParagraph"/>
              <w:spacing w:line="360" w:lineRule="auto"/>
              <w:ind w:left="0"/>
              <w:jc w:val="center"/>
              <w:rPr>
                <w:rFonts w:asciiTheme="minorHAnsi" w:hAnsiTheme="minorHAnsi" w:cstheme="minorHAnsi"/>
                <w:b/>
                <w:sz w:val="24"/>
                <w:lang w:val="en-US"/>
              </w:rPr>
            </w:pPr>
          </w:p>
        </w:tc>
        <w:tc>
          <w:tcPr>
            <w:tcW w:w="1559" w:type="dxa"/>
            <w:vAlign w:val="center"/>
          </w:tcPr>
          <w:p w:rsidR="00344A4D" w:rsidRPr="00673EDB" w:rsidRDefault="00344A4D" w:rsidP="00415333">
            <w:pPr>
              <w:jc w:val="center"/>
              <w:rPr>
                <w:rFonts w:cstheme="minorHAnsi"/>
                <w:b/>
                <w:sz w:val="24"/>
                <w:lang w:val="en-US"/>
              </w:rPr>
            </w:pPr>
          </w:p>
        </w:tc>
        <w:tc>
          <w:tcPr>
            <w:tcW w:w="1417" w:type="dxa"/>
            <w:vAlign w:val="bottom"/>
          </w:tcPr>
          <w:p w:rsidR="00344A4D" w:rsidRPr="00673EDB" w:rsidRDefault="00344A4D" w:rsidP="00415333">
            <w:pPr>
              <w:jc w:val="right"/>
              <w:rPr>
                <w:rFonts w:cstheme="minorHAnsi"/>
                <w:b/>
                <w:sz w:val="24"/>
                <w:lang w:val="en-US"/>
              </w:rPr>
            </w:pPr>
          </w:p>
        </w:tc>
        <w:tc>
          <w:tcPr>
            <w:tcW w:w="1843" w:type="dxa"/>
            <w:shd w:val="clear" w:color="auto" w:fill="auto"/>
            <w:vAlign w:val="bottom"/>
          </w:tcPr>
          <w:p w:rsidR="00344A4D" w:rsidRPr="00673EDB" w:rsidRDefault="00344A4D" w:rsidP="00415333">
            <w:pPr>
              <w:jc w:val="right"/>
              <w:rPr>
                <w:rFonts w:cstheme="minorHAnsi"/>
                <w:b/>
                <w:color w:val="FF0000"/>
                <w:sz w:val="24"/>
                <w:lang w:val="en-US"/>
              </w:rPr>
            </w:pPr>
            <w:r w:rsidRPr="00673EDB">
              <w:rPr>
                <w:rFonts w:cstheme="minorHAnsi"/>
                <w:b/>
                <w:sz w:val="24"/>
                <w:lang w:val="en-US"/>
              </w:rPr>
              <w:t>6.2</w:t>
            </w:r>
            <w:r w:rsidR="00546E58">
              <w:rPr>
                <w:rFonts w:cstheme="minorHAnsi"/>
                <w:b/>
                <w:sz w:val="24"/>
                <w:lang w:val="en-US"/>
              </w:rPr>
              <w:t>6</w:t>
            </w:r>
            <w:r w:rsidRPr="00673EDB">
              <w:rPr>
                <w:rFonts w:cstheme="minorHAnsi"/>
                <w:b/>
                <w:sz w:val="24"/>
                <w:lang w:val="en-US"/>
              </w:rPr>
              <w:t>0.000</w:t>
            </w:r>
          </w:p>
        </w:tc>
      </w:tr>
    </w:tbl>
    <w:p w:rsidR="00344A4D" w:rsidRPr="00673EDB" w:rsidRDefault="00344A4D" w:rsidP="00344A4D">
      <w:pPr>
        <w:spacing w:after="0" w:line="360" w:lineRule="auto"/>
        <w:jc w:val="both"/>
        <w:rPr>
          <w:rFonts w:cstheme="minorHAnsi"/>
          <w:sz w:val="24"/>
        </w:rPr>
      </w:pPr>
    </w:p>
    <w:p w:rsidR="00344A4D" w:rsidRPr="00673EDB" w:rsidRDefault="00344A4D" w:rsidP="00344A4D">
      <w:pPr>
        <w:spacing w:after="0" w:line="360" w:lineRule="auto"/>
        <w:jc w:val="both"/>
        <w:rPr>
          <w:rFonts w:cstheme="minorHAnsi"/>
          <w:sz w:val="24"/>
        </w:rPr>
      </w:pPr>
      <w:r w:rsidRPr="00673EDB">
        <w:rPr>
          <w:rFonts w:cstheme="minorHAnsi"/>
          <w:sz w:val="24"/>
        </w:rPr>
        <w:t xml:space="preserve">Total Estimated Volume for Bulk Fuel is </w:t>
      </w:r>
      <w:r w:rsidRPr="00673EDB">
        <w:rPr>
          <w:rFonts w:cstheme="minorHAnsi"/>
          <w:b/>
          <w:sz w:val="24"/>
        </w:rPr>
        <w:t>6.2</w:t>
      </w:r>
      <w:r w:rsidR="00F02EAB">
        <w:rPr>
          <w:rFonts w:cstheme="minorHAnsi"/>
          <w:b/>
          <w:sz w:val="24"/>
        </w:rPr>
        <w:t>6</w:t>
      </w:r>
      <w:r w:rsidRPr="00673EDB">
        <w:rPr>
          <w:rFonts w:cstheme="minorHAnsi"/>
          <w:b/>
          <w:sz w:val="24"/>
        </w:rPr>
        <w:t>0.000 liters per annum</w:t>
      </w:r>
      <w:r w:rsidRPr="00673EDB">
        <w:rPr>
          <w:rFonts w:cstheme="minorHAnsi"/>
          <w:sz w:val="24"/>
        </w:rPr>
        <w:t>.</w:t>
      </w:r>
    </w:p>
    <w:p w:rsidR="00344A4D" w:rsidRPr="00673EDB" w:rsidRDefault="00344A4D" w:rsidP="00344A4D">
      <w:pPr>
        <w:spacing w:after="0" w:line="360" w:lineRule="auto"/>
        <w:jc w:val="both"/>
        <w:rPr>
          <w:rFonts w:cstheme="minorHAnsi"/>
          <w:b/>
          <w:sz w:val="28"/>
        </w:rPr>
      </w:pPr>
    </w:p>
    <w:p w:rsidR="00344A4D" w:rsidRPr="00673EDB" w:rsidRDefault="00344A4D" w:rsidP="00344A4D">
      <w:pPr>
        <w:spacing w:after="0" w:line="360" w:lineRule="auto"/>
        <w:jc w:val="both"/>
        <w:rPr>
          <w:rFonts w:cstheme="minorHAnsi"/>
          <w:b/>
          <w:sz w:val="28"/>
        </w:rPr>
      </w:pPr>
      <w:r w:rsidRPr="00673EDB">
        <w:rPr>
          <w:rFonts w:cstheme="minorHAnsi"/>
          <w:b/>
          <w:sz w:val="28"/>
        </w:rPr>
        <w:t>LOT 2: FUEL STATIONS REFILLING</w:t>
      </w:r>
    </w:p>
    <w:p w:rsidR="00344A4D" w:rsidRPr="00673EDB" w:rsidRDefault="00344A4D" w:rsidP="00344A4D">
      <w:pPr>
        <w:spacing w:after="0" w:line="360" w:lineRule="auto"/>
        <w:jc w:val="both"/>
        <w:rPr>
          <w:rFonts w:cstheme="minorHAnsi"/>
          <w:sz w:val="24"/>
        </w:rPr>
      </w:pPr>
      <w:r w:rsidRPr="00673EDB">
        <w:rPr>
          <w:rFonts w:cstheme="minorHAnsi"/>
          <w:sz w:val="24"/>
        </w:rPr>
        <w:t xml:space="preserve">Total Estimated Volume for Fuel Stations is </w:t>
      </w:r>
      <w:r w:rsidRPr="00673EDB">
        <w:rPr>
          <w:rFonts w:cstheme="minorHAnsi"/>
          <w:b/>
          <w:sz w:val="24"/>
        </w:rPr>
        <w:t>4</w:t>
      </w:r>
      <w:r w:rsidR="00D05FA8">
        <w:rPr>
          <w:rFonts w:cstheme="minorHAnsi"/>
          <w:b/>
          <w:sz w:val="24"/>
        </w:rPr>
        <w:t>0</w:t>
      </w:r>
      <w:r w:rsidRPr="00673EDB">
        <w:rPr>
          <w:rFonts w:cstheme="minorHAnsi"/>
          <w:b/>
          <w:sz w:val="24"/>
        </w:rPr>
        <w:t>0.000 liters per annum</w:t>
      </w:r>
      <w:r w:rsidRPr="00673EDB">
        <w:rPr>
          <w:rFonts w:cstheme="minorHAnsi"/>
          <w:sz w:val="24"/>
        </w:rPr>
        <w:t>.</w:t>
      </w:r>
    </w:p>
    <w:p w:rsidR="00344A4D" w:rsidRPr="00673EDB" w:rsidRDefault="00344A4D" w:rsidP="00344A4D">
      <w:pPr>
        <w:spacing w:after="0" w:line="360" w:lineRule="auto"/>
        <w:jc w:val="both"/>
        <w:rPr>
          <w:rFonts w:cstheme="minorHAnsi"/>
          <w:sz w:val="24"/>
        </w:rPr>
      </w:pPr>
    </w:p>
    <w:p w:rsidR="00344A4D" w:rsidRPr="00673EDB" w:rsidRDefault="00344A4D" w:rsidP="00344A4D">
      <w:pPr>
        <w:spacing w:line="360" w:lineRule="auto"/>
        <w:jc w:val="both"/>
        <w:rPr>
          <w:rFonts w:cstheme="minorHAnsi"/>
          <w:sz w:val="24"/>
        </w:rPr>
      </w:pPr>
      <w:r w:rsidRPr="00673EDB">
        <w:rPr>
          <w:rFonts w:cstheme="minorHAnsi"/>
          <w:sz w:val="24"/>
        </w:rPr>
        <w:t xml:space="preserve">Suppliers bidding for the Fuel Stations Refilling Lot will need to meet to following requirements in terms of geographical coverage: Beograd, </w:t>
      </w:r>
      <w:proofErr w:type="spellStart"/>
      <w:r w:rsidRPr="00673EDB">
        <w:rPr>
          <w:rFonts w:cstheme="minorHAnsi"/>
          <w:sz w:val="24"/>
        </w:rPr>
        <w:t>Kragujevac</w:t>
      </w:r>
      <w:proofErr w:type="spellEnd"/>
      <w:r w:rsidRPr="00673EDB">
        <w:rPr>
          <w:rFonts w:cstheme="minorHAnsi"/>
          <w:sz w:val="24"/>
        </w:rPr>
        <w:t xml:space="preserve">, </w:t>
      </w:r>
      <w:proofErr w:type="spellStart"/>
      <w:r w:rsidRPr="00673EDB">
        <w:rPr>
          <w:rFonts w:cstheme="minorHAnsi"/>
          <w:sz w:val="24"/>
        </w:rPr>
        <w:t>Požarevac</w:t>
      </w:r>
      <w:proofErr w:type="spellEnd"/>
      <w:r w:rsidRPr="00673EDB">
        <w:rPr>
          <w:rFonts w:cstheme="minorHAnsi"/>
          <w:sz w:val="24"/>
        </w:rPr>
        <w:t xml:space="preserve">, </w:t>
      </w:r>
      <w:proofErr w:type="spellStart"/>
      <w:r w:rsidRPr="00673EDB">
        <w:rPr>
          <w:rFonts w:cstheme="minorHAnsi"/>
          <w:sz w:val="24"/>
        </w:rPr>
        <w:t>Kučevo</w:t>
      </w:r>
      <w:proofErr w:type="spellEnd"/>
      <w:r w:rsidRPr="00673EDB">
        <w:rPr>
          <w:rFonts w:cstheme="minorHAnsi"/>
          <w:sz w:val="24"/>
        </w:rPr>
        <w:t xml:space="preserve">, </w:t>
      </w:r>
      <w:proofErr w:type="spellStart"/>
      <w:r w:rsidRPr="00673EDB">
        <w:rPr>
          <w:rFonts w:cstheme="minorHAnsi"/>
          <w:sz w:val="24"/>
        </w:rPr>
        <w:t>Svilajnac</w:t>
      </w:r>
      <w:proofErr w:type="spellEnd"/>
      <w:r w:rsidRPr="00673EDB">
        <w:rPr>
          <w:rFonts w:cstheme="minorHAnsi"/>
          <w:sz w:val="24"/>
        </w:rPr>
        <w:t xml:space="preserve">, </w:t>
      </w:r>
      <w:proofErr w:type="spellStart"/>
      <w:r w:rsidRPr="00673EDB">
        <w:rPr>
          <w:rFonts w:cstheme="minorHAnsi"/>
          <w:sz w:val="24"/>
        </w:rPr>
        <w:t>Niš</w:t>
      </w:r>
      <w:proofErr w:type="spellEnd"/>
      <w:r w:rsidRPr="00673EDB">
        <w:rPr>
          <w:rFonts w:cstheme="minorHAnsi"/>
          <w:sz w:val="24"/>
        </w:rPr>
        <w:t xml:space="preserve">, </w:t>
      </w:r>
      <w:proofErr w:type="spellStart"/>
      <w:r w:rsidRPr="00673EDB">
        <w:rPr>
          <w:rFonts w:cstheme="minorHAnsi"/>
          <w:sz w:val="24"/>
        </w:rPr>
        <w:t>Kostolac</w:t>
      </w:r>
      <w:proofErr w:type="spellEnd"/>
      <w:r w:rsidRPr="00673EDB">
        <w:rPr>
          <w:rFonts w:cstheme="minorHAnsi"/>
          <w:sz w:val="24"/>
        </w:rPr>
        <w:t xml:space="preserve">, </w:t>
      </w:r>
      <w:proofErr w:type="spellStart"/>
      <w:r w:rsidRPr="00673EDB">
        <w:rPr>
          <w:rFonts w:cstheme="minorHAnsi"/>
          <w:sz w:val="24"/>
        </w:rPr>
        <w:t>Golubac</w:t>
      </w:r>
      <w:proofErr w:type="spellEnd"/>
      <w:r w:rsidRPr="00673EDB">
        <w:rPr>
          <w:rFonts w:cstheme="minorHAnsi"/>
          <w:sz w:val="24"/>
        </w:rPr>
        <w:t xml:space="preserve">, </w:t>
      </w:r>
      <w:proofErr w:type="spellStart"/>
      <w:r w:rsidRPr="00673EDB">
        <w:rPr>
          <w:rFonts w:cstheme="minorHAnsi"/>
          <w:sz w:val="24"/>
        </w:rPr>
        <w:t>Donji</w:t>
      </w:r>
      <w:proofErr w:type="spellEnd"/>
      <w:r w:rsidRPr="00673EDB">
        <w:rPr>
          <w:rFonts w:cstheme="minorHAnsi"/>
          <w:sz w:val="24"/>
        </w:rPr>
        <w:t xml:space="preserve"> </w:t>
      </w:r>
      <w:proofErr w:type="spellStart"/>
      <w:r w:rsidRPr="00673EDB">
        <w:rPr>
          <w:rFonts w:cstheme="minorHAnsi"/>
          <w:sz w:val="24"/>
        </w:rPr>
        <w:t>Milanovac</w:t>
      </w:r>
      <w:proofErr w:type="spellEnd"/>
      <w:r w:rsidRPr="00673EDB">
        <w:rPr>
          <w:rFonts w:cstheme="minorHAnsi"/>
          <w:sz w:val="24"/>
        </w:rPr>
        <w:t xml:space="preserve">, </w:t>
      </w:r>
      <w:proofErr w:type="spellStart"/>
      <w:r w:rsidRPr="00673EDB">
        <w:rPr>
          <w:rFonts w:cstheme="minorHAnsi"/>
          <w:sz w:val="24"/>
        </w:rPr>
        <w:t>Žabari</w:t>
      </w:r>
      <w:proofErr w:type="spellEnd"/>
      <w:r w:rsidRPr="00673EDB">
        <w:rPr>
          <w:rFonts w:cstheme="minorHAnsi"/>
          <w:sz w:val="24"/>
        </w:rPr>
        <w:t xml:space="preserve">, </w:t>
      </w:r>
      <w:proofErr w:type="spellStart"/>
      <w:r w:rsidRPr="00673EDB">
        <w:rPr>
          <w:rFonts w:cstheme="minorHAnsi"/>
          <w:sz w:val="24"/>
        </w:rPr>
        <w:t>Žagubica</w:t>
      </w:r>
      <w:proofErr w:type="spellEnd"/>
      <w:r w:rsidRPr="00673EDB">
        <w:rPr>
          <w:rFonts w:cstheme="minorHAnsi"/>
          <w:sz w:val="24"/>
        </w:rPr>
        <w:t xml:space="preserve">, </w:t>
      </w:r>
      <w:proofErr w:type="spellStart"/>
      <w:r w:rsidRPr="00673EDB">
        <w:rPr>
          <w:rFonts w:cstheme="minorHAnsi"/>
          <w:sz w:val="24"/>
        </w:rPr>
        <w:t>Petrovac</w:t>
      </w:r>
      <w:proofErr w:type="spellEnd"/>
      <w:r w:rsidRPr="00673EDB">
        <w:rPr>
          <w:rFonts w:cstheme="minorHAnsi"/>
          <w:sz w:val="24"/>
        </w:rPr>
        <w:t xml:space="preserve">, </w:t>
      </w:r>
      <w:proofErr w:type="spellStart"/>
      <w:r w:rsidRPr="00673EDB">
        <w:rPr>
          <w:rFonts w:cstheme="minorHAnsi"/>
          <w:sz w:val="24"/>
        </w:rPr>
        <w:t>Kladovo</w:t>
      </w:r>
      <w:proofErr w:type="spellEnd"/>
      <w:r w:rsidRPr="00673EDB">
        <w:rPr>
          <w:rFonts w:cstheme="minorHAnsi"/>
          <w:sz w:val="24"/>
        </w:rPr>
        <w:t>.</w:t>
      </w:r>
    </w:p>
    <w:p w:rsidR="00344A4D" w:rsidRPr="00673EDB" w:rsidRDefault="00344A4D" w:rsidP="00344A4D">
      <w:pPr>
        <w:spacing w:line="360" w:lineRule="auto"/>
        <w:jc w:val="both"/>
        <w:rPr>
          <w:rFonts w:cstheme="minorHAnsi"/>
          <w:sz w:val="24"/>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Awarding Prescriptions</w:t>
      </w:r>
    </w:p>
    <w:p w:rsidR="00344A4D" w:rsidRPr="00673EDB" w:rsidRDefault="00344A4D" w:rsidP="00344A4D">
      <w:pPr>
        <w:spacing w:after="0" w:line="360" w:lineRule="auto"/>
        <w:jc w:val="both"/>
        <w:rPr>
          <w:rFonts w:cstheme="minorHAnsi"/>
          <w:sz w:val="24"/>
        </w:rPr>
      </w:pPr>
      <w:r w:rsidRPr="00673EDB">
        <w:rPr>
          <w:rFonts w:cstheme="minorHAnsi"/>
          <w:sz w:val="24"/>
        </w:rPr>
        <w:t>The following documents define all terms and conditions related to this tender:</w:t>
      </w:r>
    </w:p>
    <w:p w:rsidR="00344A4D" w:rsidRPr="00673EDB" w:rsidRDefault="00344A4D" w:rsidP="00344A4D">
      <w:pPr>
        <w:pStyle w:val="ListParagraph"/>
        <w:numPr>
          <w:ilvl w:val="0"/>
          <w:numId w:val="6"/>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t xml:space="preserve">Request for Proposal – </w:t>
      </w:r>
      <w:r w:rsidRPr="00673EDB">
        <w:rPr>
          <w:rFonts w:asciiTheme="minorHAnsi" w:hAnsiTheme="minorHAnsi" w:cstheme="minorHAnsi"/>
          <w:b/>
          <w:sz w:val="24"/>
          <w:u w:val="single"/>
          <w:lang w:val="en-US"/>
        </w:rPr>
        <w:t>this document</w:t>
      </w:r>
      <w:r w:rsidRPr="00673EDB">
        <w:rPr>
          <w:rFonts w:asciiTheme="minorHAnsi" w:hAnsiTheme="minorHAnsi" w:cstheme="minorHAnsi"/>
          <w:sz w:val="24"/>
          <w:lang w:val="en-US"/>
        </w:rPr>
        <w:t>.</w:t>
      </w:r>
    </w:p>
    <w:p w:rsidR="00344A4D" w:rsidRPr="00673EDB" w:rsidRDefault="00344A4D" w:rsidP="00344A4D">
      <w:pPr>
        <w:pStyle w:val="ListParagraph"/>
        <w:numPr>
          <w:ilvl w:val="0"/>
          <w:numId w:val="6"/>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t>Appendix 1– “Specification and Pricing Module”</w:t>
      </w:r>
    </w:p>
    <w:p w:rsidR="00344A4D" w:rsidRPr="00673EDB" w:rsidRDefault="00344A4D" w:rsidP="00344A4D">
      <w:pPr>
        <w:pStyle w:val="ListParagraph"/>
        <w:numPr>
          <w:ilvl w:val="0"/>
          <w:numId w:val="6"/>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lastRenderedPageBreak/>
        <w:t>Appendix 2 – “Arriva Code of Conduct”</w:t>
      </w:r>
    </w:p>
    <w:p w:rsidR="00344A4D" w:rsidRPr="00673EDB" w:rsidRDefault="00344A4D" w:rsidP="00344A4D">
      <w:pPr>
        <w:pStyle w:val="ListParagraph"/>
        <w:numPr>
          <w:ilvl w:val="0"/>
          <w:numId w:val="6"/>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t>Appendix 3 – “Arriva Responsible Procurement Policy”</w:t>
      </w:r>
    </w:p>
    <w:p w:rsidR="00344A4D" w:rsidRPr="00673EDB" w:rsidRDefault="00344A4D" w:rsidP="00344A4D">
      <w:pPr>
        <w:spacing w:after="0" w:line="360" w:lineRule="auto"/>
        <w:jc w:val="both"/>
        <w:rPr>
          <w:rFonts w:cstheme="minorHAnsi"/>
          <w:sz w:val="24"/>
        </w:rPr>
      </w:pPr>
      <w:r w:rsidRPr="00673EDB">
        <w:rPr>
          <w:rFonts w:cstheme="minorHAnsi"/>
          <w:sz w:val="24"/>
        </w:rPr>
        <w:t>Arriva Serbia reserves the right to:</w:t>
      </w:r>
    </w:p>
    <w:p w:rsidR="00344A4D" w:rsidRPr="00673EDB" w:rsidRDefault="00344A4D" w:rsidP="00344A4D">
      <w:pPr>
        <w:pStyle w:val="ListParagraph"/>
        <w:numPr>
          <w:ilvl w:val="0"/>
          <w:numId w:val="3"/>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t>not assign any individual contract if conditions are deemed not favorable;</w:t>
      </w:r>
    </w:p>
    <w:p w:rsidR="00344A4D" w:rsidRPr="00673EDB" w:rsidRDefault="00344A4D" w:rsidP="00344A4D">
      <w:pPr>
        <w:pStyle w:val="ListParagraph"/>
        <w:numPr>
          <w:ilvl w:val="0"/>
          <w:numId w:val="3"/>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t>assign even in the case of having one single valid offer;</w:t>
      </w:r>
    </w:p>
    <w:p w:rsidR="00344A4D" w:rsidRPr="00673EDB" w:rsidRDefault="00344A4D" w:rsidP="00344A4D">
      <w:pPr>
        <w:pStyle w:val="ListParagraph"/>
        <w:numPr>
          <w:ilvl w:val="0"/>
          <w:numId w:val="3"/>
        </w:numPr>
        <w:spacing w:after="0" w:line="360" w:lineRule="auto"/>
        <w:jc w:val="both"/>
        <w:rPr>
          <w:rFonts w:asciiTheme="minorHAnsi" w:hAnsiTheme="minorHAnsi" w:cstheme="minorHAnsi"/>
          <w:sz w:val="24"/>
          <w:lang w:val="en-US"/>
        </w:rPr>
      </w:pPr>
      <w:r w:rsidRPr="00673EDB">
        <w:rPr>
          <w:rFonts w:asciiTheme="minorHAnsi" w:hAnsiTheme="minorHAnsi" w:cstheme="minorHAnsi"/>
          <w:sz w:val="24"/>
          <w:lang w:val="en-US"/>
        </w:rPr>
        <w:t>issue queries to potential suppliers and to obtain all required explanations regarding the technical and economical nature of the offer, within a 5-days period after the date of the query, via e-mail. In case of no compliance with this procedure, the offer will be evaluated based on the offer but excluding the information to which the original query was related; and</w:t>
      </w:r>
    </w:p>
    <w:p w:rsidR="00344A4D" w:rsidRPr="00673EDB" w:rsidRDefault="00344A4D" w:rsidP="00344A4D">
      <w:pPr>
        <w:numPr>
          <w:ilvl w:val="0"/>
          <w:numId w:val="3"/>
        </w:numPr>
        <w:tabs>
          <w:tab w:val="clear" w:pos="420"/>
          <w:tab w:val="left" w:pos="426"/>
        </w:tabs>
        <w:spacing w:after="0" w:line="360" w:lineRule="auto"/>
        <w:jc w:val="both"/>
        <w:rPr>
          <w:rFonts w:cstheme="minorHAnsi"/>
          <w:sz w:val="24"/>
        </w:rPr>
      </w:pPr>
      <w:r w:rsidRPr="00673EDB">
        <w:rPr>
          <w:rFonts w:cstheme="minorHAnsi"/>
          <w:sz w:val="24"/>
        </w:rPr>
        <w:t xml:space="preserve">engage in negotiations with the suppliers with the best offers as defined in </w:t>
      </w:r>
      <w:r w:rsidRPr="00673EDB">
        <w:rPr>
          <w:rFonts w:cstheme="minorHAnsi"/>
          <w:b/>
          <w:sz w:val="24"/>
        </w:rPr>
        <w:t xml:space="preserve">8. Evaluation and Award Process </w:t>
      </w:r>
      <w:r w:rsidRPr="00673EDB">
        <w:rPr>
          <w:rFonts w:cstheme="minorHAnsi"/>
          <w:sz w:val="24"/>
        </w:rPr>
        <w:t>below.</w:t>
      </w:r>
    </w:p>
    <w:p w:rsidR="00344A4D" w:rsidRPr="00673EDB" w:rsidRDefault="00344A4D" w:rsidP="00344A4D">
      <w:pPr>
        <w:spacing w:after="0" w:line="360" w:lineRule="auto"/>
        <w:ind w:left="60"/>
        <w:jc w:val="both"/>
        <w:rPr>
          <w:rFonts w:cstheme="minorHAnsi"/>
          <w:sz w:val="24"/>
        </w:rPr>
      </w:pP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Term of Contract</w:t>
      </w:r>
    </w:p>
    <w:p w:rsidR="00344A4D" w:rsidRPr="00673EDB" w:rsidRDefault="00344A4D" w:rsidP="00344A4D">
      <w:pPr>
        <w:spacing w:after="0" w:line="360" w:lineRule="auto"/>
        <w:jc w:val="both"/>
        <w:rPr>
          <w:rFonts w:cstheme="minorHAnsi"/>
          <w:sz w:val="24"/>
        </w:rPr>
      </w:pPr>
      <w:r w:rsidRPr="00673EDB">
        <w:rPr>
          <w:rFonts w:cstheme="minorHAnsi"/>
          <w:sz w:val="24"/>
        </w:rPr>
        <w:t xml:space="preserve">The negotiation refers to a </w:t>
      </w:r>
      <w:proofErr w:type="gramStart"/>
      <w:r w:rsidRPr="00673EDB">
        <w:rPr>
          <w:rFonts w:cstheme="minorHAnsi"/>
          <w:b/>
          <w:sz w:val="24"/>
          <w:u w:val="single"/>
        </w:rPr>
        <w:t>2 year</w:t>
      </w:r>
      <w:proofErr w:type="gramEnd"/>
      <w:r w:rsidRPr="00673EDB">
        <w:rPr>
          <w:rFonts w:cstheme="minorHAnsi"/>
          <w:b/>
          <w:sz w:val="24"/>
          <w:u w:val="single"/>
        </w:rPr>
        <w:t xml:space="preserve"> agreement for the Supply of Diesel to Arriva Serbia</w:t>
      </w:r>
      <w:r w:rsidRPr="00673EDB">
        <w:rPr>
          <w:rFonts w:cstheme="minorHAnsi"/>
          <w:sz w:val="24"/>
        </w:rPr>
        <w:t>, with the option to extend the contract for 1 year further. The contract will enter into force once the overall agreement will be signed and further local conditions will be agreed upon as well.</w:t>
      </w:r>
    </w:p>
    <w:p w:rsidR="00344A4D" w:rsidRPr="00673EDB" w:rsidRDefault="00344A4D" w:rsidP="00344A4D">
      <w:pPr>
        <w:spacing w:after="0" w:line="360" w:lineRule="auto"/>
        <w:jc w:val="both"/>
        <w:rPr>
          <w:rFonts w:cstheme="minorHAnsi"/>
          <w:sz w:val="24"/>
        </w:rPr>
      </w:pPr>
    </w:p>
    <w:p w:rsidR="00344A4D"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Deliveries, Payments and other Contractual Conditions</w:t>
      </w:r>
    </w:p>
    <w:p w:rsidR="00673EDB" w:rsidRPr="00673EDB" w:rsidRDefault="00673EDB" w:rsidP="00673EDB">
      <w:pPr>
        <w:pStyle w:val="ListParagraph"/>
        <w:autoSpaceDE w:val="0"/>
        <w:autoSpaceDN w:val="0"/>
        <w:adjustRightInd w:val="0"/>
        <w:spacing w:after="0" w:line="360" w:lineRule="auto"/>
        <w:ind w:left="360"/>
        <w:jc w:val="both"/>
        <w:rPr>
          <w:rFonts w:asciiTheme="minorHAnsi" w:hAnsiTheme="minorHAnsi" w:cstheme="minorHAnsi"/>
          <w:b/>
          <w:sz w:val="32"/>
          <w:szCs w:val="30"/>
          <w:lang w:val="en-US"/>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Deliveries</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Below are indicated the Depot locations where the Arriva Serbia Fuel Tanks are located. The time of arrival at the designated facility will be communicated when the order is issued (as defined below), ensuring enough time of the fuel inspection and transfer.</w:t>
      </w:r>
    </w:p>
    <w:p w:rsidR="00344A4D" w:rsidRDefault="00344A4D" w:rsidP="00344A4D">
      <w:pPr>
        <w:autoSpaceDE w:val="0"/>
        <w:autoSpaceDN w:val="0"/>
        <w:adjustRightInd w:val="0"/>
        <w:spacing w:after="0" w:line="360" w:lineRule="auto"/>
        <w:jc w:val="both"/>
        <w:rPr>
          <w:rFonts w:cstheme="minorHAnsi"/>
          <w:sz w:val="24"/>
        </w:rPr>
      </w:pPr>
    </w:p>
    <w:p w:rsidR="00673EDB" w:rsidRPr="00673EDB" w:rsidRDefault="00673EDB" w:rsidP="00344A4D">
      <w:pPr>
        <w:autoSpaceDE w:val="0"/>
        <w:autoSpaceDN w:val="0"/>
        <w:adjustRightInd w:val="0"/>
        <w:spacing w:after="0" w:line="360" w:lineRule="auto"/>
        <w:jc w:val="both"/>
        <w:rPr>
          <w:rFonts w:cstheme="minorHAnsi"/>
          <w:sz w:val="24"/>
        </w:rPr>
      </w:pPr>
    </w:p>
    <w:p w:rsidR="00821E59" w:rsidRPr="00673EDB" w:rsidRDefault="00821E59" w:rsidP="00344A4D">
      <w:pPr>
        <w:autoSpaceDE w:val="0"/>
        <w:autoSpaceDN w:val="0"/>
        <w:adjustRightInd w:val="0"/>
        <w:spacing w:after="0" w:line="360" w:lineRule="auto"/>
        <w:jc w:val="both"/>
        <w:rPr>
          <w:rFonts w:cstheme="minorHAnsi"/>
          <w:sz w:val="24"/>
        </w:rPr>
      </w:pPr>
    </w:p>
    <w:tbl>
      <w:tblPr>
        <w:tblStyle w:val="TableGrid"/>
        <w:tblW w:w="9385" w:type="dxa"/>
        <w:tblInd w:w="-34" w:type="dxa"/>
        <w:tblLook w:val="04A0" w:firstRow="1" w:lastRow="0" w:firstColumn="1" w:lastColumn="0" w:noHBand="0" w:noVBand="1"/>
      </w:tblPr>
      <w:tblGrid>
        <w:gridCol w:w="1702"/>
        <w:gridCol w:w="2409"/>
        <w:gridCol w:w="993"/>
        <w:gridCol w:w="1559"/>
        <w:gridCol w:w="2722"/>
      </w:tblGrid>
      <w:tr w:rsidR="00344A4D" w:rsidRPr="00673EDB" w:rsidTr="00415333">
        <w:tc>
          <w:tcPr>
            <w:tcW w:w="1702"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Depot</w:t>
            </w:r>
          </w:p>
        </w:tc>
        <w:tc>
          <w:tcPr>
            <w:tcW w:w="2409"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Address</w:t>
            </w:r>
          </w:p>
        </w:tc>
        <w:tc>
          <w:tcPr>
            <w:tcW w:w="993"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ZIP Code</w:t>
            </w:r>
          </w:p>
        </w:tc>
        <w:tc>
          <w:tcPr>
            <w:tcW w:w="1559"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Tank</w:t>
            </w:r>
          </w:p>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 xml:space="preserve"> Volume (Lt)</w:t>
            </w:r>
          </w:p>
        </w:tc>
        <w:tc>
          <w:tcPr>
            <w:tcW w:w="2722" w:type="dxa"/>
          </w:tcPr>
          <w:p w:rsidR="00344A4D" w:rsidRPr="00673EDB" w:rsidRDefault="00344A4D" w:rsidP="00415333">
            <w:pPr>
              <w:pStyle w:val="ListParagraph"/>
              <w:ind w:left="0"/>
              <w:jc w:val="center"/>
              <w:rPr>
                <w:rFonts w:asciiTheme="minorHAnsi" w:hAnsiTheme="minorHAnsi" w:cstheme="minorHAnsi"/>
                <w:b/>
                <w:sz w:val="24"/>
                <w:lang w:val="en-US"/>
              </w:rPr>
            </w:pPr>
            <w:r w:rsidRPr="00673EDB">
              <w:rPr>
                <w:rFonts w:asciiTheme="minorHAnsi" w:hAnsiTheme="minorHAnsi" w:cstheme="minorHAnsi"/>
                <w:b/>
                <w:sz w:val="24"/>
                <w:lang w:val="en-US"/>
              </w:rPr>
              <w:t>Deliveries Schedule</w:t>
            </w:r>
          </w:p>
        </w:tc>
      </w:tr>
      <w:tr w:rsidR="00344A4D" w:rsidRPr="00673EDB" w:rsidTr="00415333">
        <w:tc>
          <w:tcPr>
            <w:tcW w:w="1702" w:type="dxa"/>
          </w:tcPr>
          <w:p w:rsidR="00344A4D" w:rsidRPr="00673EDB" w:rsidRDefault="00344A4D" w:rsidP="00415333">
            <w:pPr>
              <w:rPr>
                <w:rFonts w:cstheme="minorHAnsi"/>
                <w:sz w:val="24"/>
                <w:lang w:val="en-US"/>
              </w:rPr>
            </w:pPr>
            <w:r w:rsidRPr="00673EDB">
              <w:rPr>
                <w:rFonts w:cstheme="minorHAnsi"/>
                <w:sz w:val="24"/>
                <w:lang w:val="en-US"/>
              </w:rPr>
              <w:t xml:space="preserve">Požarevac </w:t>
            </w:r>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Moše</w:t>
            </w:r>
            <w:proofErr w:type="spellEnd"/>
            <w:r w:rsidRPr="00673EDB">
              <w:rPr>
                <w:rFonts w:cstheme="minorHAnsi"/>
                <w:sz w:val="20"/>
                <w:lang w:val="en-US"/>
              </w:rPr>
              <w:t xml:space="preserve"> </w:t>
            </w:r>
            <w:proofErr w:type="spellStart"/>
            <w:r w:rsidRPr="00673EDB">
              <w:rPr>
                <w:rFonts w:cstheme="minorHAnsi"/>
                <w:sz w:val="20"/>
                <w:lang w:val="en-US"/>
              </w:rPr>
              <w:t>Pijade</w:t>
            </w:r>
            <w:proofErr w:type="spellEnd"/>
            <w:r w:rsidRPr="00673EDB">
              <w:rPr>
                <w:rFonts w:cstheme="minorHAnsi"/>
                <w:sz w:val="20"/>
                <w:lang w:val="en-US"/>
              </w:rPr>
              <w:t xml:space="preserve"> bb</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12000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50.000</w:t>
            </w:r>
          </w:p>
        </w:tc>
        <w:tc>
          <w:tcPr>
            <w:tcW w:w="2722" w:type="dxa"/>
            <w:vAlign w:val="center"/>
          </w:tcPr>
          <w:p w:rsidR="00344A4D" w:rsidRPr="00673EDB" w:rsidRDefault="00344A4D" w:rsidP="00415333">
            <w:pPr>
              <w:jc w:val="center"/>
              <w:rPr>
                <w:rFonts w:cstheme="minorHAnsi"/>
                <w:sz w:val="24"/>
                <w:lang w:val="en-US"/>
              </w:rPr>
            </w:pPr>
            <w:r w:rsidRPr="00673EDB">
              <w:rPr>
                <w:rFonts w:cstheme="minorHAnsi"/>
                <w:b/>
                <w:lang w:val="en-US"/>
              </w:rPr>
              <w:t>Monday to Friday - 08.00h to 16.00h</w:t>
            </w:r>
          </w:p>
        </w:tc>
      </w:tr>
      <w:tr w:rsidR="00344A4D" w:rsidRPr="00673EDB" w:rsidTr="00415333">
        <w:tc>
          <w:tcPr>
            <w:tcW w:w="1702" w:type="dxa"/>
          </w:tcPr>
          <w:p w:rsidR="00344A4D" w:rsidRPr="00673EDB" w:rsidRDefault="00344A4D" w:rsidP="00415333">
            <w:pPr>
              <w:rPr>
                <w:rFonts w:cstheme="minorHAnsi"/>
                <w:sz w:val="24"/>
                <w:lang w:val="en-US"/>
              </w:rPr>
            </w:pPr>
            <w:proofErr w:type="spellStart"/>
            <w:r w:rsidRPr="00673EDB">
              <w:rPr>
                <w:rFonts w:cstheme="minorHAnsi"/>
                <w:sz w:val="24"/>
                <w:lang w:val="en-US"/>
              </w:rPr>
              <w:t>Kragujevac</w:t>
            </w:r>
            <w:proofErr w:type="spellEnd"/>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Dragoslava</w:t>
            </w:r>
            <w:proofErr w:type="spellEnd"/>
            <w:r w:rsidRPr="00673EDB">
              <w:rPr>
                <w:rFonts w:cstheme="minorHAnsi"/>
                <w:sz w:val="20"/>
                <w:lang w:val="en-US"/>
              </w:rPr>
              <w:t xml:space="preserve"> </w:t>
            </w:r>
            <w:proofErr w:type="spellStart"/>
            <w:r w:rsidRPr="00673EDB">
              <w:rPr>
                <w:rFonts w:cstheme="minorHAnsi"/>
                <w:sz w:val="20"/>
                <w:lang w:val="en-US"/>
              </w:rPr>
              <w:t>Srejovića</w:t>
            </w:r>
            <w:proofErr w:type="spellEnd"/>
            <w:r w:rsidRPr="00673EDB">
              <w:rPr>
                <w:rFonts w:cstheme="minorHAnsi"/>
                <w:sz w:val="20"/>
                <w:lang w:val="en-US"/>
              </w:rPr>
              <w:t xml:space="preserve"> 66 </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34000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20.000</w:t>
            </w:r>
          </w:p>
        </w:tc>
        <w:tc>
          <w:tcPr>
            <w:tcW w:w="2722" w:type="dxa"/>
            <w:vAlign w:val="center"/>
          </w:tcPr>
          <w:p w:rsidR="00344A4D" w:rsidRPr="00673EDB" w:rsidRDefault="00344A4D" w:rsidP="00415333">
            <w:pPr>
              <w:jc w:val="center"/>
              <w:rPr>
                <w:rFonts w:cstheme="minorHAnsi"/>
                <w:sz w:val="24"/>
                <w:lang w:val="en-US"/>
              </w:rPr>
            </w:pPr>
            <w:r w:rsidRPr="00673EDB">
              <w:rPr>
                <w:rFonts w:cstheme="minorHAnsi"/>
                <w:b/>
                <w:lang w:val="en-US"/>
              </w:rPr>
              <w:t>Monday to Friday - 08.00h to 16.00h</w:t>
            </w:r>
          </w:p>
        </w:tc>
      </w:tr>
      <w:tr w:rsidR="00344A4D" w:rsidRPr="00673EDB" w:rsidTr="00415333">
        <w:tc>
          <w:tcPr>
            <w:tcW w:w="1702" w:type="dxa"/>
          </w:tcPr>
          <w:p w:rsidR="00344A4D" w:rsidRPr="00673EDB" w:rsidRDefault="00344A4D" w:rsidP="00415333">
            <w:pPr>
              <w:rPr>
                <w:rFonts w:cstheme="minorHAnsi"/>
                <w:sz w:val="24"/>
                <w:lang w:val="en-US"/>
              </w:rPr>
            </w:pPr>
            <w:proofErr w:type="spellStart"/>
            <w:r w:rsidRPr="00673EDB">
              <w:rPr>
                <w:rFonts w:cstheme="minorHAnsi"/>
                <w:sz w:val="24"/>
                <w:lang w:val="en-US"/>
              </w:rPr>
              <w:t>Svilajnac</w:t>
            </w:r>
            <w:proofErr w:type="spellEnd"/>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Kralja</w:t>
            </w:r>
            <w:proofErr w:type="spellEnd"/>
            <w:r w:rsidRPr="00673EDB">
              <w:rPr>
                <w:rFonts w:cstheme="minorHAnsi"/>
                <w:sz w:val="20"/>
                <w:lang w:val="en-US"/>
              </w:rPr>
              <w:t xml:space="preserve"> Petra I bb</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35210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25.000</w:t>
            </w:r>
          </w:p>
        </w:tc>
        <w:tc>
          <w:tcPr>
            <w:tcW w:w="2722" w:type="dxa"/>
            <w:vAlign w:val="center"/>
          </w:tcPr>
          <w:p w:rsidR="00344A4D" w:rsidRPr="00673EDB" w:rsidRDefault="00344A4D" w:rsidP="00415333">
            <w:pPr>
              <w:jc w:val="center"/>
              <w:rPr>
                <w:rFonts w:cstheme="minorHAnsi"/>
                <w:sz w:val="24"/>
                <w:lang w:val="en-US"/>
              </w:rPr>
            </w:pPr>
            <w:r w:rsidRPr="00673EDB">
              <w:rPr>
                <w:rFonts w:cstheme="minorHAnsi"/>
                <w:b/>
                <w:lang w:val="en-US"/>
              </w:rPr>
              <w:t>Monday to Friday - 08.00h to 13.00h</w:t>
            </w:r>
          </w:p>
        </w:tc>
      </w:tr>
      <w:tr w:rsidR="00344A4D" w:rsidRPr="00673EDB" w:rsidTr="00415333">
        <w:tc>
          <w:tcPr>
            <w:tcW w:w="1702" w:type="dxa"/>
          </w:tcPr>
          <w:p w:rsidR="00344A4D" w:rsidRPr="00673EDB" w:rsidRDefault="00344A4D" w:rsidP="00415333">
            <w:pPr>
              <w:rPr>
                <w:rFonts w:cstheme="minorHAnsi"/>
                <w:sz w:val="24"/>
                <w:lang w:val="en-US"/>
              </w:rPr>
            </w:pPr>
            <w:r w:rsidRPr="00673EDB">
              <w:rPr>
                <w:rFonts w:cstheme="minorHAnsi"/>
                <w:sz w:val="24"/>
                <w:lang w:val="en-US"/>
              </w:rPr>
              <w:t>Belgrade</w:t>
            </w:r>
          </w:p>
        </w:tc>
        <w:tc>
          <w:tcPr>
            <w:tcW w:w="2409" w:type="dxa"/>
          </w:tcPr>
          <w:p w:rsidR="00344A4D" w:rsidRPr="00673EDB" w:rsidRDefault="00344A4D" w:rsidP="00415333">
            <w:pPr>
              <w:rPr>
                <w:rFonts w:cstheme="minorHAnsi"/>
                <w:sz w:val="20"/>
                <w:lang w:val="en-US"/>
              </w:rPr>
            </w:pPr>
            <w:proofErr w:type="spellStart"/>
            <w:r w:rsidRPr="00673EDB">
              <w:rPr>
                <w:rFonts w:cstheme="minorHAnsi"/>
                <w:sz w:val="20"/>
                <w:lang w:val="en-US"/>
              </w:rPr>
              <w:t>Zrenjaninski</w:t>
            </w:r>
            <w:proofErr w:type="spellEnd"/>
          </w:p>
          <w:p w:rsidR="00344A4D" w:rsidRPr="00673EDB" w:rsidRDefault="00344A4D" w:rsidP="00415333">
            <w:pPr>
              <w:rPr>
                <w:rFonts w:cstheme="minorHAnsi"/>
                <w:sz w:val="20"/>
                <w:lang w:val="en-US"/>
              </w:rPr>
            </w:pPr>
            <w:r w:rsidRPr="00673EDB">
              <w:rPr>
                <w:rFonts w:cstheme="minorHAnsi"/>
                <w:sz w:val="20"/>
                <w:lang w:val="en-US"/>
              </w:rPr>
              <w:t>put 86m</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11000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50.000</w:t>
            </w:r>
          </w:p>
        </w:tc>
        <w:tc>
          <w:tcPr>
            <w:tcW w:w="2722" w:type="dxa"/>
            <w:vAlign w:val="center"/>
          </w:tcPr>
          <w:p w:rsidR="00344A4D" w:rsidRPr="00673EDB" w:rsidRDefault="00344A4D" w:rsidP="00415333">
            <w:pPr>
              <w:jc w:val="center"/>
              <w:rPr>
                <w:rFonts w:cstheme="minorHAnsi"/>
                <w:sz w:val="24"/>
                <w:lang w:val="en-US"/>
              </w:rPr>
            </w:pPr>
            <w:r w:rsidRPr="00673EDB">
              <w:rPr>
                <w:rFonts w:cstheme="minorHAnsi"/>
                <w:b/>
                <w:lang w:val="en-US"/>
              </w:rPr>
              <w:t>Monday to Friday - 08.00h to 16.00h</w:t>
            </w:r>
          </w:p>
        </w:tc>
      </w:tr>
      <w:tr w:rsidR="00344A4D" w:rsidRPr="00673EDB" w:rsidTr="00415333">
        <w:tc>
          <w:tcPr>
            <w:tcW w:w="1702" w:type="dxa"/>
          </w:tcPr>
          <w:p w:rsidR="00344A4D" w:rsidRPr="00673EDB" w:rsidRDefault="00344A4D" w:rsidP="00415333">
            <w:pPr>
              <w:rPr>
                <w:rFonts w:cstheme="minorHAnsi"/>
                <w:sz w:val="24"/>
                <w:lang w:val="en-US"/>
              </w:rPr>
            </w:pPr>
            <w:proofErr w:type="spellStart"/>
            <w:r w:rsidRPr="00673EDB">
              <w:rPr>
                <w:rFonts w:cstheme="minorHAnsi"/>
                <w:sz w:val="24"/>
                <w:lang w:val="en-US"/>
              </w:rPr>
              <w:t>Niš</w:t>
            </w:r>
            <w:proofErr w:type="spellEnd"/>
          </w:p>
        </w:tc>
        <w:tc>
          <w:tcPr>
            <w:tcW w:w="2409" w:type="dxa"/>
          </w:tcPr>
          <w:p w:rsidR="00344A4D" w:rsidRPr="00673EDB" w:rsidRDefault="00344A4D" w:rsidP="00415333">
            <w:pPr>
              <w:rPr>
                <w:rFonts w:cstheme="minorHAnsi"/>
                <w:sz w:val="20"/>
                <w:lang w:val="en-US"/>
              </w:rPr>
            </w:pPr>
            <w:r w:rsidRPr="00673EDB">
              <w:rPr>
                <w:rFonts w:cstheme="minorHAnsi"/>
                <w:sz w:val="20"/>
                <w:lang w:val="en-US"/>
              </w:rPr>
              <w:t xml:space="preserve">Ivana </w:t>
            </w:r>
            <w:proofErr w:type="spellStart"/>
            <w:r w:rsidRPr="00673EDB">
              <w:rPr>
                <w:rFonts w:cstheme="minorHAnsi"/>
                <w:sz w:val="20"/>
                <w:lang w:val="en-US"/>
              </w:rPr>
              <w:t>Milutinovića</w:t>
            </w:r>
            <w:proofErr w:type="spellEnd"/>
            <w:r w:rsidRPr="00673EDB">
              <w:rPr>
                <w:rFonts w:cstheme="minorHAnsi"/>
                <w:sz w:val="20"/>
                <w:lang w:val="en-US"/>
              </w:rPr>
              <w:t xml:space="preserve"> 30</w:t>
            </w:r>
          </w:p>
        </w:tc>
        <w:tc>
          <w:tcPr>
            <w:tcW w:w="993"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18000</w:t>
            </w:r>
          </w:p>
        </w:tc>
        <w:tc>
          <w:tcPr>
            <w:tcW w:w="1559" w:type="dxa"/>
            <w:vAlign w:val="center"/>
          </w:tcPr>
          <w:p w:rsidR="00344A4D" w:rsidRPr="00673EDB" w:rsidRDefault="00344A4D" w:rsidP="00415333">
            <w:pPr>
              <w:jc w:val="center"/>
              <w:rPr>
                <w:rFonts w:cstheme="minorHAnsi"/>
                <w:sz w:val="24"/>
                <w:lang w:val="en-US"/>
              </w:rPr>
            </w:pPr>
            <w:r w:rsidRPr="00673EDB">
              <w:rPr>
                <w:rFonts w:cstheme="minorHAnsi"/>
                <w:sz w:val="24"/>
                <w:lang w:val="en-US"/>
              </w:rPr>
              <w:t>50.000</w:t>
            </w:r>
          </w:p>
        </w:tc>
        <w:tc>
          <w:tcPr>
            <w:tcW w:w="2722" w:type="dxa"/>
            <w:vAlign w:val="center"/>
          </w:tcPr>
          <w:p w:rsidR="00344A4D" w:rsidRPr="00673EDB" w:rsidRDefault="00344A4D" w:rsidP="00415333">
            <w:pPr>
              <w:jc w:val="center"/>
              <w:rPr>
                <w:rFonts w:cstheme="minorHAnsi"/>
                <w:sz w:val="24"/>
                <w:lang w:val="en-US"/>
              </w:rPr>
            </w:pPr>
            <w:r w:rsidRPr="00673EDB">
              <w:rPr>
                <w:rFonts w:cstheme="minorHAnsi"/>
                <w:b/>
                <w:lang w:val="en-US"/>
              </w:rPr>
              <w:t>Monday to Friday - 08.00h to 16.00h</w:t>
            </w:r>
          </w:p>
        </w:tc>
      </w:tr>
    </w:tbl>
    <w:p w:rsidR="00344A4D" w:rsidRPr="00673EDB" w:rsidRDefault="00344A4D" w:rsidP="00344A4D">
      <w:pPr>
        <w:autoSpaceDE w:val="0"/>
        <w:autoSpaceDN w:val="0"/>
        <w:adjustRightInd w:val="0"/>
        <w:spacing w:after="0" w:line="360" w:lineRule="auto"/>
        <w:contextualSpacing/>
        <w:jc w:val="both"/>
        <w:rPr>
          <w:rFonts w:cstheme="minorHAnsi"/>
          <w:sz w:val="24"/>
        </w:rPr>
      </w:pPr>
    </w:p>
    <w:p w:rsidR="00344A4D" w:rsidRPr="00673EDB" w:rsidRDefault="00344A4D" w:rsidP="00344A4D">
      <w:pPr>
        <w:autoSpaceDE w:val="0"/>
        <w:autoSpaceDN w:val="0"/>
        <w:adjustRightInd w:val="0"/>
        <w:spacing w:after="0" w:line="360" w:lineRule="auto"/>
        <w:contextualSpacing/>
        <w:jc w:val="both"/>
        <w:rPr>
          <w:rFonts w:cstheme="minorHAnsi"/>
          <w:sz w:val="24"/>
        </w:rPr>
      </w:pPr>
    </w:p>
    <w:p w:rsidR="00344A4D" w:rsidRPr="00673EDB" w:rsidRDefault="00344A4D" w:rsidP="00344A4D">
      <w:pPr>
        <w:autoSpaceDE w:val="0"/>
        <w:autoSpaceDN w:val="0"/>
        <w:adjustRightInd w:val="0"/>
        <w:spacing w:after="0" w:line="360" w:lineRule="auto"/>
        <w:contextualSpacing/>
        <w:jc w:val="both"/>
        <w:rPr>
          <w:rFonts w:cstheme="minorHAnsi"/>
          <w:sz w:val="24"/>
        </w:rPr>
      </w:pPr>
      <w:r w:rsidRPr="00673EDB">
        <w:rPr>
          <w:rFonts w:cstheme="minorHAnsi"/>
          <w:sz w:val="24"/>
        </w:rPr>
        <w:t>The supplier shall ensure the complete supply, i.e. the delivery of the fuels in the client’s tanks, where the supplier provides for the transport of the goods in its own name and at its own expense.  Supplies (“fuel load”) to the client’s tanks are carried out in the presence of a client’s employee. The client’s employee shall record the quantity of the fuel in the tank. The driver shall submit the following documents to the client’s employee:</w:t>
      </w:r>
    </w:p>
    <w:p w:rsidR="00344A4D" w:rsidRPr="00673EDB" w:rsidRDefault="00344A4D" w:rsidP="00344A4D">
      <w:pPr>
        <w:pStyle w:val="ListParagraph"/>
        <w:numPr>
          <w:ilvl w:val="0"/>
          <w:numId w:val="7"/>
        </w:numPr>
        <w:autoSpaceDE w:val="0"/>
        <w:autoSpaceDN w:val="0"/>
        <w:adjustRightInd w:val="0"/>
        <w:spacing w:after="0" w:line="360" w:lineRule="auto"/>
        <w:ind w:left="284" w:hanging="284"/>
        <w:jc w:val="both"/>
        <w:rPr>
          <w:rFonts w:asciiTheme="minorHAnsi" w:hAnsiTheme="minorHAnsi" w:cstheme="minorHAnsi"/>
          <w:sz w:val="24"/>
          <w:lang w:val="en-US"/>
        </w:rPr>
      </w:pPr>
      <w:r w:rsidRPr="00673EDB">
        <w:rPr>
          <w:rFonts w:asciiTheme="minorHAnsi" w:hAnsiTheme="minorHAnsi" w:cstheme="minorHAnsi"/>
          <w:sz w:val="24"/>
          <w:lang w:val="en-US"/>
        </w:rPr>
        <w:t>bill of laden from the petrol tanker</w:t>
      </w:r>
    </w:p>
    <w:p w:rsidR="00344A4D" w:rsidRPr="00673EDB" w:rsidRDefault="00344A4D" w:rsidP="00344A4D">
      <w:pPr>
        <w:pStyle w:val="ListParagraph"/>
        <w:numPr>
          <w:ilvl w:val="0"/>
          <w:numId w:val="7"/>
        </w:numPr>
        <w:autoSpaceDE w:val="0"/>
        <w:autoSpaceDN w:val="0"/>
        <w:adjustRightInd w:val="0"/>
        <w:spacing w:after="0" w:line="360" w:lineRule="auto"/>
        <w:ind w:left="284" w:hanging="284"/>
        <w:jc w:val="both"/>
        <w:rPr>
          <w:rFonts w:asciiTheme="minorHAnsi" w:hAnsiTheme="minorHAnsi" w:cstheme="minorHAnsi"/>
          <w:sz w:val="24"/>
          <w:lang w:val="en-US"/>
        </w:rPr>
      </w:pPr>
      <w:r w:rsidRPr="00673EDB">
        <w:rPr>
          <w:rFonts w:asciiTheme="minorHAnsi" w:hAnsiTheme="minorHAnsi" w:cstheme="minorHAnsi"/>
          <w:sz w:val="24"/>
          <w:lang w:val="en-US"/>
        </w:rPr>
        <w:t>quality certificate</w:t>
      </w:r>
    </w:p>
    <w:p w:rsidR="00344A4D" w:rsidRPr="00673EDB" w:rsidRDefault="00344A4D" w:rsidP="00344A4D">
      <w:pPr>
        <w:pStyle w:val="ListParagraph"/>
        <w:numPr>
          <w:ilvl w:val="0"/>
          <w:numId w:val="7"/>
        </w:numPr>
        <w:autoSpaceDE w:val="0"/>
        <w:autoSpaceDN w:val="0"/>
        <w:adjustRightInd w:val="0"/>
        <w:spacing w:after="0" w:line="360" w:lineRule="auto"/>
        <w:ind w:left="284" w:hanging="284"/>
        <w:jc w:val="both"/>
        <w:rPr>
          <w:rFonts w:asciiTheme="minorHAnsi" w:hAnsiTheme="minorHAnsi" w:cstheme="minorHAnsi"/>
          <w:sz w:val="24"/>
          <w:lang w:val="en-US"/>
        </w:rPr>
      </w:pPr>
      <w:r w:rsidRPr="00673EDB">
        <w:rPr>
          <w:rFonts w:asciiTheme="minorHAnsi" w:hAnsiTheme="minorHAnsi" w:cstheme="minorHAnsi"/>
          <w:sz w:val="24"/>
          <w:lang w:val="en-US"/>
        </w:rPr>
        <w:t>delivery note (from the depot location: distributor’s warehouse, refiner)</w:t>
      </w:r>
    </w:p>
    <w:p w:rsidR="00344A4D" w:rsidRPr="00673EDB" w:rsidRDefault="00344A4D" w:rsidP="00344A4D">
      <w:pPr>
        <w:pStyle w:val="ListParagraph"/>
        <w:numPr>
          <w:ilvl w:val="0"/>
          <w:numId w:val="7"/>
        </w:numPr>
        <w:autoSpaceDE w:val="0"/>
        <w:autoSpaceDN w:val="0"/>
        <w:adjustRightInd w:val="0"/>
        <w:spacing w:after="0" w:line="360" w:lineRule="auto"/>
        <w:ind w:left="284" w:hanging="284"/>
        <w:jc w:val="both"/>
        <w:rPr>
          <w:rFonts w:asciiTheme="minorHAnsi" w:hAnsiTheme="minorHAnsi" w:cstheme="minorHAnsi"/>
          <w:sz w:val="24"/>
          <w:lang w:val="en-US"/>
        </w:rPr>
      </w:pPr>
      <w:r w:rsidRPr="00673EDB">
        <w:rPr>
          <w:rFonts w:asciiTheme="minorHAnsi" w:hAnsiTheme="minorHAnsi" w:cstheme="minorHAnsi"/>
          <w:sz w:val="24"/>
          <w:lang w:val="en-US"/>
        </w:rPr>
        <w:t>sale receipt.</w:t>
      </w:r>
    </w:p>
    <w:p w:rsidR="00344A4D" w:rsidRPr="00673EDB" w:rsidRDefault="00344A4D" w:rsidP="00344A4D">
      <w:pPr>
        <w:autoSpaceDE w:val="0"/>
        <w:autoSpaceDN w:val="0"/>
        <w:adjustRightInd w:val="0"/>
        <w:spacing w:after="0" w:line="240" w:lineRule="auto"/>
        <w:contextualSpacing/>
        <w:jc w:val="both"/>
        <w:rPr>
          <w:rFonts w:cstheme="minorHAnsi"/>
        </w:rPr>
      </w:pPr>
      <w:r w:rsidRPr="00673EDB">
        <w:rPr>
          <w:rFonts w:eastAsia="Arial" w:cstheme="minorHAnsi"/>
          <w:lang w:bidi="en-GB"/>
        </w:rPr>
        <w:t>The employee shall validate the copy of the delivery receipt to the driver.</w:t>
      </w:r>
    </w:p>
    <w:p w:rsidR="00344A4D" w:rsidRPr="00673EDB" w:rsidRDefault="00344A4D" w:rsidP="00344A4D">
      <w:pPr>
        <w:autoSpaceDE w:val="0"/>
        <w:autoSpaceDN w:val="0"/>
        <w:adjustRightInd w:val="0"/>
        <w:rPr>
          <w:rFonts w:cstheme="minorHAnsi"/>
          <w:b/>
          <w:bCs/>
          <w:color w:val="000000"/>
          <w:sz w:val="20"/>
          <w:szCs w:val="20"/>
          <w:u w:val="single"/>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lastRenderedPageBreak/>
        <w:t>Acceptance of Delivery</w:t>
      </w:r>
    </w:p>
    <w:p w:rsidR="00344A4D" w:rsidRPr="00673EDB" w:rsidRDefault="00344A4D" w:rsidP="00344A4D">
      <w:pPr>
        <w:pStyle w:val="Heading1"/>
        <w:spacing w:before="0" w:after="0" w:line="360" w:lineRule="auto"/>
        <w:contextualSpacing/>
        <w:jc w:val="both"/>
        <w:rPr>
          <w:rFonts w:asciiTheme="minorHAnsi" w:eastAsia="Calibri" w:hAnsiTheme="minorHAnsi" w:cstheme="minorHAnsi"/>
          <w:b w:val="0"/>
          <w:bCs w:val="0"/>
          <w:kern w:val="0"/>
          <w:sz w:val="24"/>
          <w:szCs w:val="22"/>
          <w:lang w:val="en-US" w:eastAsia="en-US"/>
        </w:rPr>
      </w:pPr>
      <w:r w:rsidRPr="00673EDB">
        <w:rPr>
          <w:rFonts w:asciiTheme="minorHAnsi" w:eastAsia="Calibri" w:hAnsiTheme="minorHAnsi" w:cstheme="minorHAnsi"/>
          <w:b w:val="0"/>
          <w:bCs w:val="0"/>
          <w:kern w:val="0"/>
          <w:sz w:val="24"/>
          <w:szCs w:val="22"/>
          <w:lang w:val="en-US" w:eastAsia="en-US"/>
        </w:rPr>
        <w:t xml:space="preserve">Fuel acceptance will take place only after the successful completion of the checks that Arriva is entitled to do for each delivery, as to ensure that the product complies with all the features and requirements referred to in point </w:t>
      </w:r>
      <w:r w:rsidRPr="00673EDB">
        <w:rPr>
          <w:rFonts w:asciiTheme="minorHAnsi" w:eastAsia="Calibri" w:hAnsiTheme="minorHAnsi" w:cstheme="minorHAnsi"/>
          <w:bCs w:val="0"/>
          <w:kern w:val="0"/>
          <w:sz w:val="24"/>
          <w:szCs w:val="22"/>
          <w:lang w:val="en-US" w:eastAsia="en-US"/>
        </w:rPr>
        <w:t>6. “Technical Specifications”</w:t>
      </w:r>
      <w:r w:rsidRPr="00673EDB">
        <w:rPr>
          <w:rFonts w:asciiTheme="minorHAnsi" w:eastAsia="Calibri" w:hAnsiTheme="minorHAnsi" w:cstheme="minorHAnsi"/>
          <w:b w:val="0"/>
          <w:bCs w:val="0"/>
          <w:kern w:val="0"/>
          <w:sz w:val="24"/>
          <w:szCs w:val="22"/>
          <w:lang w:val="en-US" w:eastAsia="en-US"/>
        </w:rPr>
        <w:t xml:space="preserve">. </w:t>
      </w:r>
    </w:p>
    <w:p w:rsidR="00344A4D" w:rsidRPr="00673EDB" w:rsidRDefault="00344A4D" w:rsidP="00344A4D">
      <w:pPr>
        <w:autoSpaceDE w:val="0"/>
        <w:autoSpaceDN w:val="0"/>
        <w:adjustRightInd w:val="0"/>
        <w:spacing w:after="0" w:line="360" w:lineRule="auto"/>
        <w:contextualSpacing/>
        <w:jc w:val="both"/>
        <w:rPr>
          <w:rFonts w:cstheme="minorHAnsi"/>
          <w:sz w:val="24"/>
        </w:rPr>
      </w:pPr>
      <w:r w:rsidRPr="00673EDB">
        <w:rPr>
          <w:rFonts w:cstheme="minorHAnsi"/>
          <w:sz w:val="24"/>
        </w:rPr>
        <w:t xml:space="preserve">On a random basis, Arriva will take fuel samples from tankers for laboratory testing. These samples will be sealed in special containers signed by both parties. In the event of a dispute concerning the characteristics and requirements of the product, the parties will be obliged to accept the results of a further test to be carried out by a </w:t>
      </w:r>
      <w:proofErr w:type="gramStart"/>
      <w:r w:rsidRPr="00673EDB">
        <w:rPr>
          <w:rFonts w:cstheme="minorHAnsi"/>
          <w:sz w:val="24"/>
        </w:rPr>
        <w:t>third party</w:t>
      </w:r>
      <w:proofErr w:type="gramEnd"/>
      <w:r w:rsidRPr="00673EDB">
        <w:rPr>
          <w:rFonts w:cstheme="minorHAnsi"/>
          <w:sz w:val="24"/>
        </w:rPr>
        <w:t xml:space="preserve"> laboratory, jointly chosen at the expense of the supplier company. In the event of the fuel supply having different characteristics from those described below in point </w:t>
      </w:r>
      <w:r w:rsidRPr="00673EDB">
        <w:rPr>
          <w:rFonts w:cstheme="minorHAnsi"/>
          <w:b/>
          <w:sz w:val="24"/>
        </w:rPr>
        <w:t>6. “Technical Specifications”,</w:t>
      </w:r>
      <w:r w:rsidRPr="00673EDB">
        <w:rPr>
          <w:rFonts w:cstheme="minorHAnsi"/>
          <w:sz w:val="24"/>
        </w:rPr>
        <w:t xml:space="preserve"> Arriva, in addition to not providing the payment of the relevant invoice, will be entitled to claim an indemnity as defined in </w:t>
      </w:r>
      <w:r w:rsidRPr="00673EDB">
        <w:rPr>
          <w:rFonts w:cstheme="minorHAnsi"/>
          <w:b/>
          <w:sz w:val="24"/>
        </w:rPr>
        <w:t>Appendix 3 - “Draft Contract Template</w:t>
      </w:r>
      <w:proofErr w:type="gramStart"/>
      <w:r w:rsidRPr="00673EDB">
        <w:rPr>
          <w:rFonts w:cstheme="minorHAnsi"/>
          <w:b/>
          <w:sz w:val="24"/>
        </w:rPr>
        <w:t>” .</w:t>
      </w:r>
      <w:proofErr w:type="gramEnd"/>
      <w:r w:rsidRPr="00673EDB">
        <w:rPr>
          <w:rFonts w:cstheme="minorHAnsi"/>
          <w:b/>
          <w:sz w:val="24"/>
        </w:rPr>
        <w:t xml:space="preserve"> </w:t>
      </w:r>
      <w:r w:rsidRPr="00673EDB">
        <w:rPr>
          <w:rFonts w:cstheme="minorHAnsi"/>
          <w:sz w:val="24"/>
        </w:rPr>
        <w:t>Invoices paid will deduct eventual penalties.</w:t>
      </w:r>
    </w:p>
    <w:p w:rsidR="00344A4D" w:rsidRPr="00673EDB" w:rsidRDefault="00344A4D" w:rsidP="00344A4D">
      <w:pPr>
        <w:autoSpaceDE w:val="0"/>
        <w:autoSpaceDN w:val="0"/>
        <w:adjustRightInd w:val="0"/>
        <w:spacing w:after="0" w:line="360" w:lineRule="auto"/>
        <w:jc w:val="both"/>
        <w:rPr>
          <w:rFonts w:cstheme="minorHAnsi"/>
          <w:sz w:val="24"/>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Payment Terms</w:t>
      </w:r>
    </w:p>
    <w:p w:rsidR="00344A4D" w:rsidRPr="00673EDB" w:rsidRDefault="00344A4D" w:rsidP="00673EDB">
      <w:pPr>
        <w:spacing w:after="0" w:line="360" w:lineRule="auto"/>
        <w:jc w:val="both"/>
        <w:rPr>
          <w:rFonts w:cstheme="minorHAnsi"/>
          <w:b/>
          <w:color w:val="FF0000"/>
          <w:sz w:val="24"/>
        </w:rPr>
      </w:pPr>
      <w:r w:rsidRPr="00673EDB">
        <w:rPr>
          <w:rFonts w:cstheme="minorHAnsi"/>
          <w:sz w:val="24"/>
        </w:rPr>
        <w:t>The minimum standard for payment terms accepted by Arriva Serbia is 45 days from the receipt of the invoice.</w:t>
      </w:r>
      <w:r w:rsidRPr="00673EDB">
        <w:rPr>
          <w:rFonts w:cstheme="minorHAnsi"/>
          <w:color w:val="FF0000"/>
          <w:sz w:val="24"/>
        </w:rPr>
        <w:t xml:space="preserve"> </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Payments will take place through bank transfer. The invoices must be addressed and sent to the company and the recipient must return it with reference to the date, no. of order, date and place of delivery and the price agreed in the contract being awarded.</w:t>
      </w:r>
    </w:p>
    <w:p w:rsidR="00344A4D" w:rsidRPr="00673EDB" w:rsidRDefault="00344A4D" w:rsidP="00344A4D">
      <w:pPr>
        <w:autoSpaceDE w:val="0"/>
        <w:autoSpaceDN w:val="0"/>
        <w:adjustRightInd w:val="0"/>
        <w:spacing w:after="0" w:line="360" w:lineRule="auto"/>
        <w:jc w:val="both"/>
        <w:rPr>
          <w:rFonts w:cstheme="minorHAnsi"/>
          <w:sz w:val="24"/>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Ordering</w:t>
      </w:r>
    </w:p>
    <w:p w:rsidR="00344A4D" w:rsidRPr="00673EDB" w:rsidRDefault="00344A4D" w:rsidP="00344A4D">
      <w:pPr>
        <w:pStyle w:val="NormalWeb"/>
        <w:spacing w:after="0" w:line="360" w:lineRule="auto"/>
        <w:jc w:val="both"/>
        <w:rPr>
          <w:rFonts w:asciiTheme="minorHAnsi" w:eastAsia="Calibri" w:hAnsiTheme="minorHAnsi" w:cstheme="minorHAnsi"/>
          <w:color w:val="auto"/>
          <w:szCs w:val="22"/>
        </w:rPr>
      </w:pPr>
      <w:r w:rsidRPr="00673EDB">
        <w:rPr>
          <w:rFonts w:asciiTheme="minorHAnsi" w:eastAsia="Calibri" w:hAnsiTheme="minorHAnsi" w:cstheme="minorHAnsi"/>
          <w:color w:val="auto"/>
          <w:szCs w:val="22"/>
        </w:rPr>
        <w:t xml:space="preserve">Arriva Serbia will issue a purchase order in the form of a written </w:t>
      </w:r>
      <w:hyperlink r:id="rId8" w:tooltip="Trade" w:history="1">
        <w:r w:rsidRPr="00673EDB">
          <w:rPr>
            <w:rFonts w:asciiTheme="minorHAnsi" w:eastAsia="Calibri" w:hAnsiTheme="minorHAnsi" w:cstheme="minorHAnsi"/>
            <w:color w:val="auto"/>
            <w:szCs w:val="22"/>
          </w:rPr>
          <w:t>commercial</w:t>
        </w:r>
      </w:hyperlink>
      <w:r w:rsidRPr="00673EDB">
        <w:rPr>
          <w:rFonts w:asciiTheme="minorHAnsi" w:eastAsia="Calibri" w:hAnsiTheme="minorHAnsi" w:cstheme="minorHAnsi"/>
          <w:color w:val="auto"/>
          <w:szCs w:val="22"/>
        </w:rPr>
        <w:t xml:space="preserve"> document indicating type of fuel, quantities, and agreed prices for products or services, as well as time of delivery and any specific requirements, if applicable. Acceptance of the purchase order by the supplier is binding. </w:t>
      </w:r>
    </w:p>
    <w:p w:rsidR="00344A4D" w:rsidRPr="00673EDB" w:rsidRDefault="00344A4D" w:rsidP="00344A4D">
      <w:pPr>
        <w:rPr>
          <w:rFonts w:cstheme="minorHAnsi"/>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Invoicing</w:t>
      </w:r>
    </w:p>
    <w:p w:rsidR="00344A4D" w:rsidRPr="00673EDB" w:rsidRDefault="00344A4D" w:rsidP="00344A4D">
      <w:pPr>
        <w:pStyle w:val="NormalWeb"/>
        <w:spacing w:after="0" w:line="360" w:lineRule="auto"/>
        <w:jc w:val="both"/>
        <w:rPr>
          <w:rFonts w:asciiTheme="minorHAnsi" w:eastAsia="Calibri" w:hAnsiTheme="minorHAnsi" w:cstheme="minorHAnsi"/>
          <w:color w:val="auto"/>
          <w:szCs w:val="22"/>
        </w:rPr>
      </w:pPr>
      <w:r w:rsidRPr="00673EDB">
        <w:rPr>
          <w:rFonts w:asciiTheme="minorHAnsi" w:hAnsiTheme="minorHAnsi" w:cstheme="minorHAnsi"/>
        </w:rPr>
        <w:t>The Potential Supplier will be invoicing in standard liters as per the bill of laden issued by the loading terminal and measured at standard temperature of 15 degrees Celsius at one atmosphere</w:t>
      </w:r>
      <w:r w:rsidRPr="00673EDB">
        <w:rPr>
          <w:rFonts w:asciiTheme="minorHAnsi" w:eastAsia="Calibri" w:hAnsiTheme="minorHAnsi" w:cstheme="minorHAnsi"/>
          <w:color w:val="auto"/>
          <w:szCs w:val="22"/>
        </w:rPr>
        <w:t xml:space="preserve"> Arriva Serbia is committed to reduce as much as possible the number of invoices processed every 15 days basis by its staff with the objective of implementing a lean and efficient administrative function, as well as reducing related transactional costs. The selected supplier will agree to discuss with Arriva Serbia, the most adequate procedure to minimize the number of invoices issued, in compliance with country law and regulations.</w:t>
      </w:r>
    </w:p>
    <w:p w:rsidR="00344A4D" w:rsidRPr="00673EDB" w:rsidRDefault="00344A4D" w:rsidP="00344A4D">
      <w:pPr>
        <w:autoSpaceDE w:val="0"/>
        <w:autoSpaceDN w:val="0"/>
        <w:adjustRightInd w:val="0"/>
        <w:spacing w:after="0" w:line="360" w:lineRule="auto"/>
        <w:jc w:val="both"/>
        <w:rPr>
          <w:rFonts w:cstheme="minorHAnsi"/>
          <w:sz w:val="24"/>
        </w:rPr>
      </w:pPr>
    </w:p>
    <w:p w:rsidR="00344A4D" w:rsidRPr="00673EDB" w:rsidRDefault="00344A4D" w:rsidP="00344A4D">
      <w:pPr>
        <w:pStyle w:val="Heading1"/>
        <w:spacing w:before="0" w:after="0" w:line="360" w:lineRule="auto"/>
        <w:ind w:left="720"/>
        <w:rPr>
          <w:rFonts w:asciiTheme="minorHAnsi" w:eastAsia="Calibri" w:hAnsiTheme="minorHAnsi" w:cstheme="minorHAnsi"/>
          <w:bCs w:val="0"/>
          <w:kern w:val="0"/>
          <w:sz w:val="28"/>
          <w:szCs w:val="22"/>
          <w:lang w:val="en-US" w:eastAsia="en-US"/>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Contractual Penalties</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 xml:space="preserve">If the Fuel supply does not occur in its entirety within the period prescribed in </w:t>
      </w:r>
      <w:r w:rsidRPr="00673EDB">
        <w:rPr>
          <w:rFonts w:cstheme="minorHAnsi"/>
          <w:b/>
          <w:sz w:val="24"/>
        </w:rPr>
        <w:t>5.1 – “Deliveries”</w:t>
      </w:r>
      <w:r w:rsidRPr="00673EDB">
        <w:rPr>
          <w:rFonts w:cstheme="minorHAnsi"/>
          <w:sz w:val="24"/>
        </w:rPr>
        <w:t xml:space="preserve">, Arriva Serbia may impose a penalty equal to 5% of the value of the supply. Any damage caused to Arriva Serbia facilities and vehicles by fuel supplies that do not meet the required specifications as per point </w:t>
      </w:r>
      <w:r w:rsidRPr="00673EDB">
        <w:rPr>
          <w:rFonts w:cstheme="minorHAnsi"/>
          <w:b/>
          <w:sz w:val="24"/>
        </w:rPr>
        <w:t>6.4 – “Fuel Specifications and Requirements”</w:t>
      </w:r>
      <w:r w:rsidRPr="00673EDB">
        <w:rPr>
          <w:rFonts w:cstheme="minorHAnsi"/>
          <w:sz w:val="24"/>
        </w:rPr>
        <w:t>, will be charged to the selected Supplier.</w:t>
      </w:r>
    </w:p>
    <w:p w:rsidR="00344A4D" w:rsidRPr="00673EDB" w:rsidRDefault="00344A4D" w:rsidP="00344A4D">
      <w:pPr>
        <w:spacing w:after="0" w:line="360" w:lineRule="auto"/>
        <w:jc w:val="both"/>
        <w:rPr>
          <w:rFonts w:cstheme="minorHAnsi"/>
          <w:sz w:val="24"/>
        </w:rPr>
      </w:pPr>
    </w:p>
    <w:p w:rsidR="00344A4D" w:rsidRPr="00673EDB" w:rsidRDefault="00344A4D" w:rsidP="00344A4D">
      <w:pPr>
        <w:spacing w:after="0" w:line="360" w:lineRule="auto"/>
        <w:jc w:val="both"/>
        <w:rPr>
          <w:rFonts w:cstheme="minorHAnsi"/>
          <w:sz w:val="24"/>
        </w:rPr>
      </w:pPr>
      <w:r w:rsidRPr="00673EDB">
        <w:rPr>
          <w:rFonts w:cstheme="minorHAnsi"/>
          <w:sz w:val="24"/>
        </w:rPr>
        <w:t>If fuel delivery delays disturb the smooth running of the public service, Arriva Serbia will be entitled to acquire the needed fuel from other suppliers. In this case, in addition to the penalties above, any additional costs in which Arriva Serbia incurs will be charged to the supplier.</w:t>
      </w: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Damages Liability</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The supplier is responsible for damages caused during the delivery. Arriva Serbia declines any responsibility for damages, of any nature whatsoever, that the selected supplier may have incurred or caused to third parties.</w:t>
      </w: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lastRenderedPageBreak/>
        <w:t>Subcontract</w:t>
      </w:r>
    </w:p>
    <w:p w:rsidR="00344A4D" w:rsidRPr="00673EDB" w:rsidRDefault="00344A4D" w:rsidP="00344A4D">
      <w:pPr>
        <w:spacing w:after="0" w:line="360" w:lineRule="auto"/>
        <w:jc w:val="both"/>
        <w:rPr>
          <w:rFonts w:cstheme="minorHAnsi"/>
          <w:sz w:val="24"/>
        </w:rPr>
      </w:pPr>
      <w:r w:rsidRPr="00673EDB">
        <w:rPr>
          <w:rFonts w:cstheme="minorHAnsi"/>
          <w:sz w:val="24"/>
        </w:rPr>
        <w:t>It is not possible to subcontract another supplier without the specific authorization of Arriva Serbia.</w:t>
      </w: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Compliance with Law and Jurisdiction</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The selected Supplier is required to comply with all laws, decrees and regulations in force at the time of delivery, even if issued by the competent Authority after the signing of the present special conditions. For any dispute, the competent court will be the one of the city where the headquarters of the tendering company is located.</w:t>
      </w: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Arriva Code of Conduct</w:t>
      </w:r>
    </w:p>
    <w:p w:rsidR="00344A4D" w:rsidRPr="00673EDB" w:rsidRDefault="00344A4D" w:rsidP="00344A4D">
      <w:pPr>
        <w:spacing w:after="0" w:line="360" w:lineRule="auto"/>
        <w:contextualSpacing/>
        <w:jc w:val="both"/>
        <w:rPr>
          <w:rFonts w:cstheme="minorHAnsi"/>
          <w:sz w:val="24"/>
          <w:szCs w:val="24"/>
        </w:rPr>
      </w:pPr>
      <w:r w:rsidRPr="00673EDB">
        <w:rPr>
          <w:rFonts w:cstheme="minorHAnsi"/>
          <w:sz w:val="24"/>
          <w:szCs w:val="24"/>
        </w:rPr>
        <w:t xml:space="preserve">Bidding Suppliers are required to confirm that they have received and agreed to comply with the Arriva Code of Conduct in all business relationships (including existing agreements in relation thereto). </w:t>
      </w: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Arriva Responsible Procurement Policy</w:t>
      </w:r>
    </w:p>
    <w:p w:rsidR="00344A4D" w:rsidRPr="00673EDB" w:rsidRDefault="00344A4D" w:rsidP="00344A4D">
      <w:pPr>
        <w:spacing w:after="0" w:line="360" w:lineRule="auto"/>
        <w:jc w:val="both"/>
        <w:rPr>
          <w:rFonts w:cstheme="minorHAnsi"/>
          <w:sz w:val="24"/>
          <w:szCs w:val="24"/>
        </w:rPr>
      </w:pPr>
      <w:r w:rsidRPr="00673EDB">
        <w:rPr>
          <w:rFonts w:cstheme="minorHAnsi"/>
          <w:sz w:val="24"/>
          <w:szCs w:val="24"/>
        </w:rPr>
        <w:t xml:space="preserve">Bidding Supplies are required to confirm that they have received and agreed to comply with the Arriva Responsible Procurement Policy in all business relationships (including existing agreements in relation thereto).  </w:t>
      </w: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Acceptance of Contractual Conditions</w:t>
      </w:r>
    </w:p>
    <w:p w:rsidR="00344A4D" w:rsidRDefault="00344A4D" w:rsidP="00344A4D">
      <w:pPr>
        <w:autoSpaceDE w:val="0"/>
        <w:autoSpaceDN w:val="0"/>
        <w:adjustRightInd w:val="0"/>
        <w:spacing w:after="0" w:line="360" w:lineRule="auto"/>
        <w:jc w:val="both"/>
        <w:rPr>
          <w:rFonts w:cstheme="minorHAnsi"/>
          <w:sz w:val="24"/>
        </w:rPr>
      </w:pPr>
      <w:r w:rsidRPr="00673EDB">
        <w:rPr>
          <w:rFonts w:cstheme="minorHAnsi"/>
          <w:sz w:val="24"/>
        </w:rPr>
        <w:t>By signing this document, the bidding companies accept unconditionally the tender methodology and conditions of supply identified by Arriva Serbia.</w:t>
      </w: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Technical Specification</w:t>
      </w:r>
    </w:p>
    <w:p w:rsidR="00344A4D" w:rsidRPr="00673EDB" w:rsidRDefault="00344A4D" w:rsidP="00344A4D">
      <w:pPr>
        <w:autoSpaceDE w:val="0"/>
        <w:autoSpaceDN w:val="0"/>
        <w:adjustRightInd w:val="0"/>
        <w:spacing w:after="0" w:line="360" w:lineRule="auto"/>
        <w:jc w:val="both"/>
        <w:rPr>
          <w:rFonts w:cstheme="minorHAnsi"/>
          <w:sz w:val="24"/>
        </w:rPr>
      </w:pPr>
      <w:r w:rsidRPr="00673EDB">
        <w:rPr>
          <w:rFonts w:cstheme="minorHAnsi"/>
          <w:sz w:val="24"/>
        </w:rPr>
        <w:t xml:space="preserve">Arriva Serbia uses the EN590:2013 as reference Technical Specification as detailed below: </w:t>
      </w:r>
    </w:p>
    <w:p w:rsidR="00344A4D" w:rsidRDefault="00344A4D" w:rsidP="00344A4D">
      <w:pPr>
        <w:autoSpaceDE w:val="0"/>
        <w:autoSpaceDN w:val="0"/>
        <w:adjustRightInd w:val="0"/>
        <w:spacing w:after="0" w:line="360" w:lineRule="auto"/>
        <w:jc w:val="both"/>
        <w:rPr>
          <w:rFonts w:cstheme="minorHAnsi"/>
          <w:sz w:val="24"/>
        </w:rPr>
      </w:pPr>
      <w:r w:rsidRPr="00673EDB">
        <w:rPr>
          <w:rFonts w:cstheme="minorHAnsi"/>
          <w:sz w:val="24"/>
        </w:rPr>
        <w:t xml:space="preserve">Bidding Suppliers will need to state which Technical Specification they are using as reference for the offer and for future fuel supplies. This statement is made using the </w:t>
      </w:r>
      <w:r w:rsidRPr="00673EDB">
        <w:rPr>
          <w:rFonts w:cstheme="minorHAnsi"/>
          <w:b/>
          <w:sz w:val="24"/>
        </w:rPr>
        <w:t>Appendix 1 – “Specification and Pricing Module”</w:t>
      </w:r>
      <w:r w:rsidRPr="00673EDB">
        <w:rPr>
          <w:rFonts w:cstheme="minorHAnsi"/>
          <w:sz w:val="24"/>
        </w:rPr>
        <w:t>. Bidding suppliers will attach to the offer the Technical Sheet of the Diesel being proposed in their offer.</w:t>
      </w:r>
    </w:p>
    <w:p w:rsidR="00673EDB" w:rsidRDefault="00673EDB" w:rsidP="00344A4D">
      <w:pPr>
        <w:autoSpaceDE w:val="0"/>
        <w:autoSpaceDN w:val="0"/>
        <w:adjustRightInd w:val="0"/>
        <w:spacing w:after="0" w:line="360" w:lineRule="auto"/>
        <w:jc w:val="both"/>
        <w:rPr>
          <w:rFonts w:cstheme="minorHAnsi"/>
          <w:sz w:val="24"/>
        </w:rPr>
      </w:pPr>
    </w:p>
    <w:p w:rsidR="00673EDB" w:rsidRPr="00673EDB" w:rsidRDefault="00673EDB" w:rsidP="00344A4D">
      <w:pPr>
        <w:autoSpaceDE w:val="0"/>
        <w:autoSpaceDN w:val="0"/>
        <w:adjustRightInd w:val="0"/>
        <w:spacing w:after="0" w:line="360" w:lineRule="auto"/>
        <w:jc w:val="both"/>
        <w:rPr>
          <w:rFonts w:cstheme="minorHAnsi"/>
          <w:sz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080"/>
        <w:gridCol w:w="1260"/>
      </w:tblGrid>
      <w:tr w:rsidR="00344A4D" w:rsidRPr="00673EDB" w:rsidTr="00415333">
        <w:trPr>
          <w:cantSplit/>
        </w:trPr>
        <w:tc>
          <w:tcPr>
            <w:tcW w:w="9540" w:type="dxa"/>
            <w:gridSpan w:val="4"/>
            <w:tcBorders>
              <w:top w:val="single" w:sz="4" w:space="0" w:color="auto"/>
              <w:left w:val="single" w:sz="4" w:space="0" w:color="auto"/>
              <w:bottom w:val="single" w:sz="4" w:space="0" w:color="auto"/>
              <w:right w:val="single" w:sz="4" w:space="0" w:color="auto"/>
            </w:tcBorders>
          </w:tcPr>
          <w:p w:rsidR="00344A4D" w:rsidRPr="00673EDB" w:rsidRDefault="00344A4D" w:rsidP="00415333">
            <w:pPr>
              <w:spacing w:after="0" w:line="240" w:lineRule="auto"/>
              <w:contextualSpacing/>
              <w:rPr>
                <w:rFonts w:eastAsia="Times New Roman" w:cstheme="minorHAnsi"/>
                <w:sz w:val="18"/>
                <w:szCs w:val="18"/>
              </w:rPr>
            </w:pPr>
            <w:bookmarkStart w:id="0" w:name="_Toc359357778"/>
            <w:bookmarkStart w:id="1" w:name="_Toc359404423"/>
          </w:p>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Sulphur Free Diesel (&lt;10 ppm)</w:t>
            </w:r>
            <w:r w:rsidRPr="00673EDB">
              <w:rPr>
                <w:rFonts w:eastAsia="Times New Roman" w:cstheme="minorHAnsi"/>
                <w:sz w:val="18"/>
                <w:szCs w:val="18"/>
              </w:rPr>
              <w:tab/>
              <w:t xml:space="preserve">EN590 specification 10 ppm </w:t>
            </w:r>
            <w:proofErr w:type="spellStart"/>
            <w:r w:rsidRPr="00673EDB">
              <w:rPr>
                <w:rFonts w:eastAsia="Times New Roman" w:cstheme="minorHAnsi"/>
                <w:sz w:val="18"/>
                <w:szCs w:val="18"/>
              </w:rPr>
              <w:t>sulphur</w:t>
            </w:r>
            <w:bookmarkEnd w:id="0"/>
            <w:bookmarkEnd w:id="1"/>
            <w:proofErr w:type="spellEnd"/>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p>
        </w:tc>
      </w:tr>
      <w:tr w:rsidR="00344A4D" w:rsidRPr="00673EDB" w:rsidTr="00415333">
        <w:trPr>
          <w:trHeight w:val="415"/>
        </w:trPr>
        <w:tc>
          <w:tcPr>
            <w:tcW w:w="5940" w:type="dxa"/>
            <w:tcBorders>
              <w:top w:val="single" w:sz="4" w:space="0" w:color="auto"/>
              <w:left w:val="single" w:sz="4" w:space="0" w:color="auto"/>
              <w:bottom w:val="single" w:sz="4" w:space="0" w:color="auto"/>
              <w:right w:val="single" w:sz="4" w:space="0" w:color="auto"/>
            </w:tcBorders>
            <w:shd w:val="clear" w:color="auto" w:fill="C0C0C0"/>
          </w:tcPr>
          <w:p w:rsidR="00344A4D" w:rsidRPr="00673EDB" w:rsidRDefault="00344A4D" w:rsidP="00415333">
            <w:pPr>
              <w:spacing w:after="0" w:line="240" w:lineRule="auto"/>
              <w:contextualSpacing/>
              <w:rPr>
                <w:rFonts w:eastAsia="Times New Roman" w:cstheme="minorHAnsi"/>
                <w:b/>
                <w:bCs/>
                <w:sz w:val="18"/>
                <w:szCs w:val="18"/>
              </w:rPr>
            </w:pPr>
          </w:p>
          <w:p w:rsidR="00344A4D" w:rsidRPr="00673EDB" w:rsidRDefault="00344A4D" w:rsidP="00344A4D">
            <w:pPr>
              <w:keepNext/>
              <w:numPr>
                <w:ilvl w:val="1"/>
                <w:numId w:val="4"/>
              </w:numPr>
              <w:tabs>
                <w:tab w:val="clear" w:pos="720"/>
                <w:tab w:val="num" w:pos="862"/>
                <w:tab w:val="num" w:pos="1854"/>
              </w:tabs>
              <w:spacing w:after="0" w:line="240" w:lineRule="auto"/>
              <w:ind w:left="1854"/>
              <w:contextualSpacing/>
              <w:outlineLvl w:val="1"/>
              <w:rPr>
                <w:rFonts w:eastAsia="Times New Roman" w:cstheme="minorHAnsi"/>
                <w:sz w:val="18"/>
                <w:szCs w:val="18"/>
              </w:rPr>
            </w:pPr>
            <w:r w:rsidRPr="00673EDB">
              <w:rPr>
                <w:rFonts w:eastAsia="Times New Roman" w:cstheme="minorHAnsi"/>
                <w:sz w:val="18"/>
                <w:szCs w:val="18"/>
              </w:rPr>
              <w:t>Sales Specification</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344A4D" w:rsidRPr="00673EDB" w:rsidRDefault="00344A4D" w:rsidP="00415333">
            <w:pPr>
              <w:spacing w:after="0" w:line="240" w:lineRule="auto"/>
              <w:contextualSpacing/>
              <w:rPr>
                <w:rFonts w:eastAsia="Times New Roman" w:cstheme="minorHAnsi"/>
                <w:b/>
                <w:bCs/>
                <w:sz w:val="18"/>
                <w:szCs w:val="18"/>
              </w:rPr>
            </w:pPr>
          </w:p>
          <w:p w:rsidR="00344A4D" w:rsidRPr="00673EDB" w:rsidRDefault="00344A4D" w:rsidP="00415333">
            <w:pPr>
              <w:spacing w:after="0" w:line="240" w:lineRule="auto"/>
              <w:contextualSpacing/>
              <w:jc w:val="center"/>
              <w:rPr>
                <w:rFonts w:eastAsia="Times New Roman" w:cstheme="minorHAnsi"/>
                <w:b/>
                <w:bCs/>
                <w:sz w:val="18"/>
                <w:szCs w:val="18"/>
              </w:rPr>
            </w:pPr>
            <w:r w:rsidRPr="00673EDB">
              <w:rPr>
                <w:rFonts w:eastAsia="Times New Roman" w:cstheme="minorHAnsi"/>
                <w:b/>
                <w:bCs/>
                <w:sz w:val="18"/>
                <w:szCs w:val="18"/>
              </w:rPr>
              <w:t>Units</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344A4D" w:rsidRPr="00673EDB" w:rsidRDefault="00344A4D" w:rsidP="00415333">
            <w:pPr>
              <w:spacing w:after="0" w:line="240" w:lineRule="auto"/>
              <w:contextualSpacing/>
              <w:rPr>
                <w:rFonts w:eastAsia="Times New Roman" w:cstheme="minorHAnsi"/>
                <w:b/>
                <w:bCs/>
                <w:sz w:val="18"/>
                <w:szCs w:val="18"/>
              </w:rPr>
            </w:pPr>
          </w:p>
          <w:p w:rsidR="00344A4D" w:rsidRPr="00673EDB" w:rsidRDefault="00344A4D" w:rsidP="00415333">
            <w:pPr>
              <w:spacing w:after="0" w:line="240" w:lineRule="auto"/>
              <w:contextualSpacing/>
              <w:jc w:val="center"/>
              <w:rPr>
                <w:rFonts w:eastAsia="Times New Roman" w:cstheme="minorHAnsi"/>
                <w:b/>
                <w:bCs/>
                <w:sz w:val="18"/>
                <w:szCs w:val="18"/>
              </w:rPr>
            </w:pPr>
            <w:r w:rsidRPr="00673EDB">
              <w:rPr>
                <w:rFonts w:eastAsia="Times New Roman" w:cstheme="minorHAnsi"/>
                <w:b/>
                <w:bCs/>
                <w:sz w:val="18"/>
                <w:szCs w:val="18"/>
              </w:rPr>
              <w:t>Min</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344A4D" w:rsidRPr="00673EDB" w:rsidRDefault="00344A4D" w:rsidP="00415333">
            <w:pPr>
              <w:spacing w:after="0" w:line="240" w:lineRule="auto"/>
              <w:contextualSpacing/>
              <w:rPr>
                <w:rFonts w:eastAsia="Times New Roman" w:cstheme="minorHAnsi"/>
                <w:b/>
                <w:bCs/>
                <w:sz w:val="18"/>
                <w:szCs w:val="18"/>
              </w:rPr>
            </w:pPr>
          </w:p>
          <w:p w:rsidR="00344A4D" w:rsidRPr="00673EDB" w:rsidRDefault="00344A4D" w:rsidP="00415333">
            <w:pPr>
              <w:spacing w:after="0" w:line="240" w:lineRule="auto"/>
              <w:contextualSpacing/>
              <w:jc w:val="center"/>
              <w:rPr>
                <w:rFonts w:eastAsia="Times New Roman" w:cstheme="minorHAnsi"/>
                <w:b/>
                <w:bCs/>
                <w:sz w:val="18"/>
                <w:szCs w:val="18"/>
              </w:rPr>
            </w:pPr>
            <w:r w:rsidRPr="00673EDB">
              <w:rPr>
                <w:rFonts w:eastAsia="Times New Roman" w:cstheme="minorHAnsi"/>
                <w:b/>
                <w:bCs/>
                <w:sz w:val="18"/>
                <w:szCs w:val="18"/>
              </w:rPr>
              <w:t>Max</w:t>
            </w:r>
          </w:p>
        </w:tc>
      </w:tr>
      <w:tr w:rsidR="00344A4D" w:rsidRPr="00673EDB" w:rsidTr="00415333">
        <w:tc>
          <w:tcPr>
            <w:tcW w:w="5940" w:type="dxa"/>
            <w:tcBorders>
              <w:top w:val="single" w:sz="4" w:space="0" w:color="auto"/>
              <w:left w:val="single" w:sz="4" w:space="0" w:color="auto"/>
              <w:bottom w:val="nil"/>
              <w:right w:val="single" w:sz="4" w:space="0" w:color="auto"/>
            </w:tcBorders>
          </w:tcPr>
          <w:p w:rsidR="00344A4D" w:rsidRPr="00673EDB" w:rsidRDefault="00344A4D" w:rsidP="00415333">
            <w:pPr>
              <w:spacing w:after="0" w:line="240" w:lineRule="auto"/>
              <w:contextualSpacing/>
              <w:rPr>
                <w:rFonts w:eastAsia="Times New Roman" w:cstheme="minorHAnsi"/>
                <w:sz w:val="18"/>
                <w:szCs w:val="18"/>
              </w:rPr>
            </w:pPr>
          </w:p>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Cetane Number</w:t>
            </w:r>
          </w:p>
        </w:tc>
        <w:tc>
          <w:tcPr>
            <w:tcW w:w="1260" w:type="dxa"/>
            <w:tcBorders>
              <w:top w:val="single" w:sz="4" w:space="0" w:color="auto"/>
              <w:left w:val="single" w:sz="4" w:space="0" w:color="auto"/>
              <w:bottom w:val="nil"/>
              <w:right w:val="single" w:sz="4" w:space="0" w:color="auto"/>
            </w:tcBorders>
          </w:tcPr>
          <w:p w:rsidR="00344A4D" w:rsidRPr="00673EDB" w:rsidRDefault="00344A4D" w:rsidP="00415333">
            <w:pPr>
              <w:spacing w:after="0" w:line="240" w:lineRule="auto"/>
              <w:contextualSpacing/>
              <w:rPr>
                <w:rFonts w:eastAsia="Times New Roman" w:cstheme="minorHAnsi"/>
                <w:sz w:val="18"/>
                <w:szCs w:val="18"/>
              </w:rPr>
            </w:pPr>
          </w:p>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w:t>
            </w:r>
          </w:p>
        </w:tc>
        <w:tc>
          <w:tcPr>
            <w:tcW w:w="1080" w:type="dxa"/>
            <w:tcBorders>
              <w:top w:val="single" w:sz="4" w:space="0" w:color="auto"/>
              <w:left w:val="single" w:sz="4" w:space="0" w:color="auto"/>
              <w:bottom w:val="nil"/>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51.0</w:t>
            </w:r>
          </w:p>
        </w:tc>
        <w:tc>
          <w:tcPr>
            <w:tcW w:w="1260" w:type="dxa"/>
            <w:tcBorders>
              <w:top w:val="single" w:sz="4" w:space="0" w:color="auto"/>
              <w:left w:val="single" w:sz="4" w:space="0" w:color="auto"/>
              <w:bottom w:val="nil"/>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Cetane Index</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46.0</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Density at 15</w:t>
            </w:r>
            <w:r w:rsidRPr="00673EDB">
              <w:rPr>
                <w:rFonts w:eastAsia="Times New Roman" w:cstheme="minorHAnsi"/>
                <w:sz w:val="18"/>
                <w:szCs w:val="18"/>
                <w:vertAlign w:val="superscript"/>
              </w:rPr>
              <w:t>o</w:t>
            </w:r>
            <w:r w:rsidRPr="00673EDB">
              <w:rPr>
                <w:rFonts w:eastAsia="Times New Roman" w:cstheme="minorHAnsi"/>
                <w:sz w:val="18"/>
                <w:szCs w:val="18"/>
              </w:rPr>
              <w:t>C</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kg/m</w:t>
            </w:r>
            <w:r w:rsidRPr="00673EDB">
              <w:rPr>
                <w:rFonts w:eastAsia="Times New Roman" w:cstheme="minorHAnsi"/>
                <w:sz w:val="18"/>
                <w:szCs w:val="18"/>
                <w:vertAlign w:val="superscript"/>
              </w:rPr>
              <w:t>3</w:t>
            </w:r>
          </w:p>
        </w:tc>
        <w:tc>
          <w:tcPr>
            <w:tcW w:w="1080" w:type="dxa"/>
            <w:tcBorders>
              <w:top w:val="nil"/>
              <w:left w:val="single" w:sz="4" w:space="0" w:color="auto"/>
              <w:bottom w:val="nil"/>
              <w:right w:val="single" w:sz="4" w:space="0" w:color="auto"/>
            </w:tcBorders>
            <w:hideMark/>
          </w:tcPr>
          <w:p w:rsidR="00344A4D" w:rsidRPr="00673EDB" w:rsidRDefault="00344A4D" w:rsidP="00415333">
            <w:pPr>
              <w:tabs>
                <w:tab w:val="left" w:pos="720"/>
                <w:tab w:val="center" w:pos="4513"/>
                <w:tab w:val="right" w:pos="9026"/>
              </w:tabs>
              <w:spacing w:after="0" w:line="240" w:lineRule="auto"/>
              <w:contextualSpacing/>
              <w:jc w:val="right"/>
              <w:rPr>
                <w:rFonts w:eastAsia="Times New Roman" w:cstheme="minorHAnsi"/>
                <w:sz w:val="18"/>
                <w:szCs w:val="18"/>
              </w:rPr>
            </w:pPr>
            <w:r w:rsidRPr="00673EDB">
              <w:rPr>
                <w:rFonts w:eastAsia="Times New Roman" w:cstheme="minorHAnsi"/>
                <w:sz w:val="18"/>
                <w:szCs w:val="18"/>
              </w:rPr>
              <w:t>820</w:t>
            </w:r>
          </w:p>
        </w:tc>
        <w:tc>
          <w:tcPr>
            <w:tcW w:w="1260" w:type="dxa"/>
            <w:tcBorders>
              <w:top w:val="nil"/>
              <w:left w:val="single" w:sz="4" w:space="0" w:color="auto"/>
              <w:bottom w:val="nil"/>
              <w:right w:val="single" w:sz="4" w:space="0" w:color="auto"/>
            </w:tcBorders>
            <w:hideMark/>
          </w:tcPr>
          <w:p w:rsidR="00344A4D" w:rsidRPr="00673EDB" w:rsidRDefault="00344A4D" w:rsidP="00415333">
            <w:pPr>
              <w:tabs>
                <w:tab w:val="left" w:pos="720"/>
                <w:tab w:val="center" w:pos="4513"/>
                <w:tab w:val="right" w:pos="9026"/>
              </w:tabs>
              <w:spacing w:after="0" w:line="240" w:lineRule="auto"/>
              <w:contextualSpacing/>
              <w:jc w:val="right"/>
              <w:rPr>
                <w:rFonts w:eastAsia="Times New Roman" w:cstheme="minorHAnsi"/>
                <w:sz w:val="18"/>
                <w:szCs w:val="18"/>
              </w:rPr>
            </w:pPr>
            <w:r w:rsidRPr="00673EDB">
              <w:rPr>
                <w:rFonts w:eastAsia="Times New Roman" w:cstheme="minorHAnsi"/>
                <w:sz w:val="18"/>
                <w:szCs w:val="18"/>
              </w:rPr>
              <w:t>845</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Polycyclic Aromatic Hydrocarbons (Note 1)</w:t>
            </w:r>
          </w:p>
        </w:tc>
        <w:tc>
          <w:tcPr>
            <w:tcW w:w="1260" w:type="dxa"/>
            <w:tcBorders>
              <w:top w:val="nil"/>
              <w:left w:val="single" w:sz="4" w:space="0" w:color="auto"/>
              <w:bottom w:val="nil"/>
              <w:right w:val="single" w:sz="4" w:space="0" w:color="auto"/>
            </w:tcBorders>
            <w:hideMark/>
          </w:tcPr>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%(m/m)</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11</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ind w:left="-108" w:firstLine="108"/>
              <w:contextualSpacing/>
              <w:rPr>
                <w:rFonts w:eastAsia="Times New Roman" w:cstheme="minorHAnsi"/>
                <w:sz w:val="18"/>
                <w:szCs w:val="18"/>
              </w:rPr>
            </w:pPr>
            <w:r w:rsidRPr="00673EDB">
              <w:rPr>
                <w:rFonts w:eastAsia="Times New Roman" w:cstheme="minorHAnsi"/>
                <w:sz w:val="18"/>
                <w:szCs w:val="18"/>
              </w:rPr>
              <w:t>Sulphur Content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mg/kg</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10</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Flash Point (PMCC)</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55</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Carbon Residue (on 10% distillation residue)</w:t>
            </w:r>
          </w:p>
        </w:tc>
        <w:tc>
          <w:tcPr>
            <w:tcW w:w="1260" w:type="dxa"/>
            <w:tcBorders>
              <w:top w:val="nil"/>
              <w:left w:val="single" w:sz="4" w:space="0" w:color="auto"/>
              <w:bottom w:val="nil"/>
              <w:right w:val="single" w:sz="4" w:space="0" w:color="auto"/>
            </w:tcBorders>
            <w:hideMark/>
          </w:tcPr>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%(m/m)</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0.30</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Ash Content</w:t>
            </w:r>
          </w:p>
        </w:tc>
        <w:tc>
          <w:tcPr>
            <w:tcW w:w="1260" w:type="dxa"/>
            <w:tcBorders>
              <w:top w:val="nil"/>
              <w:left w:val="single" w:sz="4" w:space="0" w:color="auto"/>
              <w:bottom w:val="nil"/>
              <w:right w:val="single" w:sz="4" w:space="0" w:color="auto"/>
            </w:tcBorders>
            <w:hideMark/>
          </w:tcPr>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%(m/m)</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0.01</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Water Content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mg/kg</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200</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Total Contamination</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mg/kg</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24</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Copper Corrosion (3h at 50</w:t>
            </w:r>
            <w:r w:rsidRPr="00673EDB">
              <w:rPr>
                <w:rFonts w:eastAsia="Times New Roman" w:cstheme="minorHAnsi"/>
                <w:sz w:val="18"/>
                <w:szCs w:val="18"/>
                <w:vertAlign w:val="superscript"/>
              </w:rPr>
              <w:t>o</w:t>
            </w:r>
            <w:r w:rsidRPr="00673EDB">
              <w:rPr>
                <w:rFonts w:eastAsia="Times New Roman" w:cstheme="minorHAnsi"/>
                <w:sz w:val="18"/>
                <w:szCs w:val="18"/>
              </w:rPr>
              <w:t>C)</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rating</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Class 1</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Oxidation Stability</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g/m</w:t>
            </w:r>
            <w:r w:rsidRPr="00673EDB">
              <w:rPr>
                <w:rFonts w:eastAsia="Times New Roman" w:cstheme="minorHAnsi"/>
                <w:sz w:val="18"/>
                <w:szCs w:val="18"/>
                <w:vertAlign w:val="superscript"/>
              </w:rPr>
              <w:t>3</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25</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Lubricity, corrected wear scar diameter (</w:t>
            </w:r>
            <w:proofErr w:type="spellStart"/>
            <w:r w:rsidRPr="00673EDB">
              <w:rPr>
                <w:rFonts w:eastAsia="Times New Roman" w:cstheme="minorHAnsi"/>
                <w:sz w:val="18"/>
                <w:szCs w:val="18"/>
              </w:rPr>
              <w:t>wsd</w:t>
            </w:r>
            <w:proofErr w:type="spellEnd"/>
            <w:r w:rsidRPr="00673EDB">
              <w:rPr>
                <w:rFonts w:eastAsia="Times New Roman" w:cstheme="minorHAnsi"/>
                <w:sz w:val="18"/>
                <w:szCs w:val="18"/>
              </w:rPr>
              <w:t xml:space="preserve"> 1,4) at 60</w:t>
            </w:r>
            <w:r w:rsidRPr="00673EDB">
              <w:rPr>
                <w:rFonts w:eastAsia="Times New Roman" w:cstheme="minorHAnsi"/>
                <w:sz w:val="18"/>
                <w:szCs w:val="18"/>
                <w:vertAlign w:val="superscript"/>
              </w:rPr>
              <w:t>o</w:t>
            </w:r>
            <w:r w:rsidRPr="00673EDB">
              <w:rPr>
                <w:rFonts w:eastAsia="Times New Roman" w:cstheme="minorHAnsi"/>
                <w:sz w:val="18"/>
                <w:szCs w:val="18"/>
              </w:rPr>
              <w:t>C</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micron</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460</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Viscosity at 40</w:t>
            </w:r>
            <w:r w:rsidRPr="00673EDB">
              <w:rPr>
                <w:rFonts w:eastAsia="Times New Roman" w:cstheme="minorHAnsi"/>
                <w:sz w:val="18"/>
                <w:szCs w:val="18"/>
                <w:vertAlign w:val="superscript"/>
              </w:rPr>
              <w:t>o</w:t>
            </w:r>
            <w:r w:rsidRPr="00673EDB">
              <w:rPr>
                <w:rFonts w:eastAsia="Times New Roman" w:cstheme="minorHAnsi"/>
                <w:sz w:val="18"/>
                <w:szCs w:val="18"/>
              </w:rPr>
              <w:t>C</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mm</w:t>
            </w:r>
            <w:r w:rsidRPr="00673EDB">
              <w:rPr>
                <w:rFonts w:eastAsia="Times New Roman" w:cstheme="minorHAnsi"/>
                <w:sz w:val="18"/>
                <w:szCs w:val="18"/>
                <w:vertAlign w:val="superscript"/>
              </w:rPr>
              <w:t>2</w:t>
            </w:r>
            <w:r w:rsidRPr="00673EDB">
              <w:rPr>
                <w:rFonts w:eastAsia="Times New Roman" w:cstheme="minorHAnsi"/>
                <w:sz w:val="18"/>
                <w:szCs w:val="18"/>
              </w:rPr>
              <w:t>/s</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2.00</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4.50</w:t>
            </w:r>
          </w:p>
        </w:tc>
      </w:tr>
      <w:tr w:rsidR="00344A4D" w:rsidRPr="00673EDB" w:rsidTr="00415333">
        <w:tc>
          <w:tcPr>
            <w:tcW w:w="594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Strong Acid</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rPr>
              <w:t>mgKOH</w:t>
            </w:r>
            <w:proofErr w:type="spellEnd"/>
            <w:r w:rsidRPr="00673EDB">
              <w:rPr>
                <w:rFonts w:eastAsia="Times New Roman" w:cstheme="minorHAnsi"/>
                <w:sz w:val="18"/>
                <w:szCs w:val="18"/>
              </w:rPr>
              <w:t>/g</w:t>
            </w:r>
          </w:p>
        </w:tc>
        <w:tc>
          <w:tcPr>
            <w:tcW w:w="108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hideMark/>
          </w:tcPr>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Nil</w:t>
            </w:r>
          </w:p>
        </w:tc>
      </w:tr>
      <w:tr w:rsidR="00344A4D" w:rsidRPr="00673EDB" w:rsidTr="00415333">
        <w:tc>
          <w:tcPr>
            <w:tcW w:w="5940" w:type="dxa"/>
            <w:tcBorders>
              <w:top w:val="nil"/>
              <w:left w:val="single" w:sz="4" w:space="0" w:color="auto"/>
              <w:bottom w:val="nil"/>
              <w:right w:val="single" w:sz="4" w:space="0" w:color="auto"/>
            </w:tcBorders>
          </w:tcPr>
          <w:p w:rsidR="00344A4D" w:rsidRPr="00673EDB" w:rsidRDefault="00344A4D" w:rsidP="00415333">
            <w:pPr>
              <w:tabs>
                <w:tab w:val="left" w:pos="720"/>
                <w:tab w:val="center" w:pos="4513"/>
                <w:tab w:val="right" w:pos="9026"/>
              </w:tabs>
              <w:spacing w:after="0" w:line="240" w:lineRule="auto"/>
              <w:contextualSpacing/>
              <w:rPr>
                <w:rFonts w:eastAsia="Times New Roman" w:cstheme="minorHAnsi"/>
                <w:b/>
                <w:bCs/>
                <w:sz w:val="18"/>
                <w:szCs w:val="18"/>
              </w:rPr>
            </w:pPr>
            <w:r w:rsidRPr="00673EDB">
              <w:rPr>
                <w:rFonts w:eastAsia="Times New Roman" w:cstheme="minorHAnsi"/>
                <w:b/>
                <w:bCs/>
                <w:sz w:val="18"/>
                <w:szCs w:val="18"/>
              </w:rPr>
              <w:t>Cloud</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Summer</w:t>
            </w:r>
            <w:r w:rsidRPr="00673EDB">
              <w:rPr>
                <w:rFonts w:eastAsia="Times New Roman" w:cstheme="minorHAnsi"/>
                <w:sz w:val="18"/>
                <w:szCs w:val="18"/>
              </w:rPr>
              <w:tab/>
              <w:t>(16 March – 15 October)</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 xml:space="preserve">Winter </w:t>
            </w:r>
            <w:r w:rsidRPr="00673EDB">
              <w:rPr>
                <w:rFonts w:eastAsia="Times New Roman" w:cstheme="minorHAnsi"/>
                <w:sz w:val="18"/>
                <w:szCs w:val="18"/>
              </w:rPr>
              <w:tab/>
            </w:r>
            <w:r w:rsidRPr="00673EDB">
              <w:rPr>
                <w:rFonts w:eastAsia="Times New Roman" w:cstheme="minorHAnsi"/>
                <w:sz w:val="18"/>
                <w:szCs w:val="18"/>
              </w:rPr>
              <w:tab/>
              <w:t>(16 October – 15 March)</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p>
        </w:tc>
        <w:tc>
          <w:tcPr>
            <w:tcW w:w="1260" w:type="dxa"/>
            <w:tcBorders>
              <w:top w:val="nil"/>
              <w:left w:val="single" w:sz="4" w:space="0" w:color="auto"/>
              <w:bottom w:val="nil"/>
              <w:right w:val="single" w:sz="4" w:space="0" w:color="auto"/>
            </w:tcBorders>
          </w:tcPr>
          <w:p w:rsidR="00344A4D" w:rsidRPr="00673EDB" w:rsidRDefault="00344A4D" w:rsidP="00415333">
            <w:pPr>
              <w:spacing w:after="0" w:line="240" w:lineRule="auto"/>
              <w:contextualSpacing/>
              <w:rPr>
                <w:rFonts w:eastAsia="Times New Roman" w:cstheme="minorHAnsi"/>
                <w:sz w:val="18"/>
                <w:szCs w:val="18"/>
              </w:rPr>
            </w:pPr>
          </w:p>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tc>
        <w:tc>
          <w:tcPr>
            <w:tcW w:w="1080" w:type="dxa"/>
            <w:tcBorders>
              <w:top w:val="nil"/>
              <w:left w:val="single" w:sz="4" w:space="0" w:color="auto"/>
              <w:bottom w:val="nil"/>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3</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- 5</w:t>
            </w:r>
          </w:p>
        </w:tc>
      </w:tr>
      <w:tr w:rsidR="00344A4D" w:rsidRPr="00673EDB" w:rsidTr="00415333">
        <w:tc>
          <w:tcPr>
            <w:tcW w:w="5940" w:type="dxa"/>
            <w:tcBorders>
              <w:top w:val="nil"/>
              <w:left w:val="single" w:sz="4" w:space="0" w:color="auto"/>
              <w:bottom w:val="nil"/>
              <w:right w:val="single" w:sz="4" w:space="0" w:color="auto"/>
            </w:tcBorders>
          </w:tcPr>
          <w:p w:rsidR="00344A4D" w:rsidRPr="00673EDB" w:rsidRDefault="00344A4D" w:rsidP="00415333">
            <w:pPr>
              <w:tabs>
                <w:tab w:val="left" w:pos="720"/>
                <w:tab w:val="center" w:pos="4513"/>
                <w:tab w:val="right" w:pos="9026"/>
              </w:tabs>
              <w:spacing w:after="0" w:line="240" w:lineRule="auto"/>
              <w:contextualSpacing/>
              <w:rPr>
                <w:rFonts w:eastAsia="Times New Roman" w:cstheme="minorHAnsi"/>
                <w:b/>
                <w:bCs/>
                <w:sz w:val="18"/>
                <w:szCs w:val="18"/>
              </w:rPr>
            </w:pPr>
            <w:r w:rsidRPr="00673EDB">
              <w:rPr>
                <w:rFonts w:eastAsia="Times New Roman" w:cstheme="minorHAnsi"/>
                <w:b/>
                <w:bCs/>
                <w:sz w:val="18"/>
                <w:szCs w:val="18"/>
              </w:rPr>
              <w:t>Distillation Characteristics</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Recovered at 250</w:t>
            </w:r>
            <w:r w:rsidRPr="00673EDB">
              <w:rPr>
                <w:rFonts w:eastAsia="Times New Roman" w:cstheme="minorHAnsi"/>
                <w:sz w:val="18"/>
                <w:szCs w:val="18"/>
                <w:vertAlign w:val="superscript"/>
              </w:rPr>
              <w:t>o</w:t>
            </w:r>
            <w:r w:rsidRPr="00673EDB">
              <w:rPr>
                <w:rFonts w:eastAsia="Times New Roman" w:cstheme="minorHAnsi"/>
                <w:sz w:val="18"/>
                <w:szCs w:val="18"/>
              </w:rPr>
              <w:t>C</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Recovered at 350</w:t>
            </w:r>
            <w:r w:rsidRPr="00673EDB">
              <w:rPr>
                <w:rFonts w:eastAsia="Times New Roman" w:cstheme="minorHAnsi"/>
                <w:sz w:val="18"/>
                <w:szCs w:val="18"/>
                <w:vertAlign w:val="superscript"/>
              </w:rPr>
              <w:t xml:space="preserve"> </w:t>
            </w: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95% point</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p>
        </w:tc>
        <w:tc>
          <w:tcPr>
            <w:tcW w:w="1260" w:type="dxa"/>
            <w:tcBorders>
              <w:top w:val="nil"/>
              <w:left w:val="single" w:sz="4" w:space="0" w:color="auto"/>
              <w:bottom w:val="nil"/>
              <w:right w:val="single" w:sz="4" w:space="0" w:color="auto"/>
            </w:tcBorders>
          </w:tcPr>
          <w:p w:rsidR="00344A4D" w:rsidRPr="00673EDB" w:rsidRDefault="00344A4D" w:rsidP="00415333">
            <w:pPr>
              <w:spacing w:after="0" w:line="240" w:lineRule="auto"/>
              <w:contextualSpacing/>
              <w:rPr>
                <w:rFonts w:eastAsia="Times New Roman" w:cstheme="minorHAnsi"/>
                <w:sz w:val="18"/>
                <w:szCs w:val="18"/>
              </w:rPr>
            </w:pPr>
          </w:p>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%(v/v)</w:t>
            </w:r>
          </w:p>
          <w:p w:rsidR="00344A4D" w:rsidRPr="00673EDB" w:rsidRDefault="00344A4D" w:rsidP="00415333">
            <w:pPr>
              <w:spacing w:after="0" w:line="240" w:lineRule="auto"/>
              <w:contextualSpacing/>
              <w:rPr>
                <w:rFonts w:eastAsia="Times New Roman" w:cstheme="minorHAnsi"/>
                <w:sz w:val="18"/>
                <w:szCs w:val="18"/>
              </w:rPr>
            </w:pPr>
            <w:r w:rsidRPr="00673EDB">
              <w:rPr>
                <w:rFonts w:eastAsia="Times New Roman" w:cstheme="minorHAnsi"/>
                <w:sz w:val="18"/>
                <w:szCs w:val="18"/>
              </w:rPr>
              <w:t>%(v/v)</w:t>
            </w:r>
          </w:p>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tc>
        <w:tc>
          <w:tcPr>
            <w:tcW w:w="1080" w:type="dxa"/>
            <w:tcBorders>
              <w:top w:val="nil"/>
              <w:left w:val="single" w:sz="4" w:space="0" w:color="auto"/>
              <w:bottom w:val="nil"/>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85</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nil"/>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65</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360</w:t>
            </w:r>
          </w:p>
        </w:tc>
      </w:tr>
      <w:tr w:rsidR="00344A4D" w:rsidRPr="00673EDB" w:rsidTr="00415333">
        <w:tc>
          <w:tcPr>
            <w:tcW w:w="5940" w:type="dxa"/>
            <w:tcBorders>
              <w:top w:val="nil"/>
              <w:left w:val="single" w:sz="4" w:space="0" w:color="auto"/>
              <w:bottom w:val="single" w:sz="4" w:space="0" w:color="auto"/>
              <w:right w:val="single" w:sz="4" w:space="0" w:color="auto"/>
            </w:tcBorders>
          </w:tcPr>
          <w:p w:rsidR="00344A4D" w:rsidRPr="00673EDB" w:rsidRDefault="00344A4D" w:rsidP="00344A4D">
            <w:pPr>
              <w:keepNext/>
              <w:numPr>
                <w:ilvl w:val="1"/>
                <w:numId w:val="4"/>
              </w:numPr>
              <w:tabs>
                <w:tab w:val="clear" w:pos="720"/>
                <w:tab w:val="num" w:pos="862"/>
                <w:tab w:val="num" w:pos="1854"/>
              </w:tabs>
              <w:spacing w:after="0" w:line="240" w:lineRule="auto"/>
              <w:ind w:left="1854"/>
              <w:contextualSpacing/>
              <w:outlineLvl w:val="1"/>
              <w:rPr>
                <w:rFonts w:eastAsia="Times New Roman" w:cstheme="minorHAnsi"/>
                <w:b/>
                <w:bCs/>
                <w:sz w:val="18"/>
                <w:szCs w:val="18"/>
              </w:rPr>
            </w:pPr>
            <w:r w:rsidRPr="00673EDB">
              <w:rPr>
                <w:rFonts w:eastAsia="Times New Roman" w:cstheme="minorHAnsi"/>
                <w:sz w:val="18"/>
                <w:szCs w:val="18"/>
              </w:rPr>
              <w:t>Cold Filter Plugging Point</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Summer</w:t>
            </w:r>
            <w:r w:rsidRPr="00673EDB">
              <w:rPr>
                <w:rFonts w:eastAsia="Times New Roman" w:cstheme="minorHAnsi"/>
                <w:sz w:val="18"/>
                <w:szCs w:val="18"/>
              </w:rPr>
              <w:tab/>
              <w:t>(16 March – 15 October)</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r w:rsidRPr="00673EDB">
              <w:rPr>
                <w:rFonts w:eastAsia="Times New Roman" w:cstheme="minorHAnsi"/>
                <w:sz w:val="18"/>
                <w:szCs w:val="18"/>
              </w:rPr>
              <w:tab/>
              <w:t xml:space="preserve">Winter </w:t>
            </w:r>
            <w:r w:rsidRPr="00673EDB">
              <w:rPr>
                <w:rFonts w:eastAsia="Times New Roman" w:cstheme="minorHAnsi"/>
                <w:sz w:val="18"/>
                <w:szCs w:val="18"/>
              </w:rPr>
              <w:tab/>
            </w:r>
            <w:r w:rsidRPr="00673EDB">
              <w:rPr>
                <w:rFonts w:eastAsia="Times New Roman" w:cstheme="minorHAnsi"/>
                <w:sz w:val="18"/>
                <w:szCs w:val="18"/>
              </w:rPr>
              <w:tab/>
              <w:t>(16 October – 15 March)</w:t>
            </w:r>
          </w:p>
          <w:p w:rsidR="00344A4D" w:rsidRPr="00673EDB" w:rsidRDefault="00344A4D" w:rsidP="00415333">
            <w:pPr>
              <w:tabs>
                <w:tab w:val="left" w:pos="720"/>
                <w:tab w:val="center" w:pos="4513"/>
                <w:tab w:val="right" w:pos="9026"/>
              </w:tabs>
              <w:spacing w:after="0" w:line="240" w:lineRule="auto"/>
              <w:contextualSpacing/>
              <w:rPr>
                <w:rFonts w:eastAsia="Times New Roman" w:cstheme="minorHAnsi"/>
                <w:sz w:val="18"/>
                <w:szCs w:val="18"/>
              </w:rPr>
            </w:pPr>
          </w:p>
        </w:tc>
        <w:tc>
          <w:tcPr>
            <w:tcW w:w="1260" w:type="dxa"/>
            <w:tcBorders>
              <w:top w:val="nil"/>
              <w:left w:val="single" w:sz="4" w:space="0" w:color="auto"/>
              <w:bottom w:val="single" w:sz="4" w:space="0" w:color="auto"/>
              <w:right w:val="single" w:sz="4" w:space="0" w:color="auto"/>
            </w:tcBorders>
          </w:tcPr>
          <w:p w:rsidR="00344A4D" w:rsidRPr="00673EDB" w:rsidRDefault="00344A4D" w:rsidP="00415333">
            <w:pPr>
              <w:spacing w:after="0" w:line="240" w:lineRule="auto"/>
              <w:contextualSpacing/>
              <w:rPr>
                <w:rFonts w:eastAsia="Times New Roman" w:cstheme="minorHAnsi"/>
                <w:sz w:val="18"/>
                <w:szCs w:val="18"/>
              </w:rPr>
            </w:pPr>
          </w:p>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p w:rsidR="00344A4D" w:rsidRPr="00673EDB" w:rsidRDefault="00344A4D" w:rsidP="00415333">
            <w:pPr>
              <w:spacing w:after="0" w:line="240" w:lineRule="auto"/>
              <w:contextualSpacing/>
              <w:rPr>
                <w:rFonts w:eastAsia="Times New Roman" w:cstheme="minorHAnsi"/>
                <w:sz w:val="18"/>
                <w:szCs w:val="18"/>
              </w:rPr>
            </w:pPr>
            <w:proofErr w:type="spellStart"/>
            <w:r w:rsidRPr="00673EDB">
              <w:rPr>
                <w:rFonts w:eastAsia="Times New Roman" w:cstheme="minorHAnsi"/>
                <w:sz w:val="18"/>
                <w:szCs w:val="18"/>
                <w:vertAlign w:val="superscript"/>
              </w:rPr>
              <w:t>o</w:t>
            </w:r>
            <w:r w:rsidRPr="00673EDB">
              <w:rPr>
                <w:rFonts w:eastAsia="Times New Roman" w:cstheme="minorHAnsi"/>
                <w:sz w:val="18"/>
                <w:szCs w:val="18"/>
              </w:rPr>
              <w:t>C</w:t>
            </w:r>
            <w:proofErr w:type="spellEnd"/>
          </w:p>
        </w:tc>
        <w:tc>
          <w:tcPr>
            <w:tcW w:w="1080" w:type="dxa"/>
            <w:tcBorders>
              <w:top w:val="nil"/>
              <w:left w:val="single" w:sz="4" w:space="0" w:color="auto"/>
              <w:bottom w:val="single" w:sz="4" w:space="0" w:color="auto"/>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w:t>
            </w:r>
          </w:p>
        </w:tc>
        <w:tc>
          <w:tcPr>
            <w:tcW w:w="1260" w:type="dxa"/>
            <w:tcBorders>
              <w:top w:val="nil"/>
              <w:left w:val="single" w:sz="4" w:space="0" w:color="auto"/>
              <w:bottom w:val="single" w:sz="4" w:space="0" w:color="auto"/>
              <w:right w:val="single" w:sz="4" w:space="0" w:color="auto"/>
            </w:tcBorders>
          </w:tcPr>
          <w:p w:rsidR="00344A4D" w:rsidRPr="00673EDB" w:rsidRDefault="00344A4D" w:rsidP="00415333">
            <w:pPr>
              <w:spacing w:after="0" w:line="240" w:lineRule="auto"/>
              <w:contextualSpacing/>
              <w:jc w:val="right"/>
              <w:rPr>
                <w:rFonts w:eastAsia="Times New Roman" w:cstheme="minorHAnsi"/>
                <w:sz w:val="18"/>
                <w:szCs w:val="18"/>
              </w:rPr>
            </w:pP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- 5</w:t>
            </w:r>
          </w:p>
          <w:p w:rsidR="00344A4D" w:rsidRPr="00673EDB" w:rsidRDefault="00344A4D" w:rsidP="00415333">
            <w:pPr>
              <w:spacing w:after="0" w:line="240" w:lineRule="auto"/>
              <w:contextualSpacing/>
              <w:jc w:val="right"/>
              <w:rPr>
                <w:rFonts w:eastAsia="Times New Roman" w:cstheme="minorHAnsi"/>
                <w:sz w:val="18"/>
                <w:szCs w:val="18"/>
              </w:rPr>
            </w:pPr>
            <w:r w:rsidRPr="00673EDB">
              <w:rPr>
                <w:rFonts w:eastAsia="Times New Roman" w:cstheme="minorHAnsi"/>
                <w:sz w:val="18"/>
                <w:szCs w:val="18"/>
              </w:rPr>
              <w:t>-15</w:t>
            </w:r>
          </w:p>
        </w:tc>
      </w:tr>
      <w:tr w:rsidR="00344A4D" w:rsidRPr="00673EDB" w:rsidTr="00415333">
        <w:trPr>
          <w:cantSplit/>
        </w:trPr>
        <w:tc>
          <w:tcPr>
            <w:tcW w:w="9540" w:type="dxa"/>
            <w:gridSpan w:val="4"/>
            <w:tcBorders>
              <w:top w:val="single" w:sz="4" w:space="0" w:color="auto"/>
              <w:left w:val="single" w:sz="4" w:space="0" w:color="auto"/>
              <w:bottom w:val="single" w:sz="4" w:space="0" w:color="auto"/>
              <w:right w:val="single" w:sz="4" w:space="0" w:color="auto"/>
            </w:tcBorders>
          </w:tcPr>
          <w:p w:rsidR="00344A4D" w:rsidRPr="00673EDB" w:rsidRDefault="00344A4D" w:rsidP="00344A4D">
            <w:pPr>
              <w:keepNext/>
              <w:numPr>
                <w:ilvl w:val="1"/>
                <w:numId w:val="4"/>
              </w:numPr>
              <w:tabs>
                <w:tab w:val="clear" w:pos="720"/>
                <w:tab w:val="num" w:pos="862"/>
                <w:tab w:val="num" w:pos="1854"/>
              </w:tabs>
              <w:spacing w:after="0" w:line="240" w:lineRule="auto"/>
              <w:ind w:left="1854"/>
              <w:contextualSpacing/>
              <w:outlineLvl w:val="1"/>
              <w:rPr>
                <w:rFonts w:eastAsia="Times New Roman" w:cstheme="minorHAnsi"/>
                <w:b/>
                <w:bCs/>
                <w:sz w:val="18"/>
                <w:szCs w:val="18"/>
              </w:rPr>
            </w:pPr>
            <w:r w:rsidRPr="00673EDB">
              <w:rPr>
                <w:rFonts w:eastAsia="Times New Roman" w:cstheme="minorHAnsi"/>
                <w:sz w:val="18"/>
                <w:szCs w:val="18"/>
              </w:rPr>
              <w:t>Additional Information</w:t>
            </w:r>
          </w:p>
          <w:p w:rsidR="00344A4D" w:rsidRPr="00673EDB" w:rsidRDefault="00344A4D" w:rsidP="00344A4D">
            <w:pPr>
              <w:numPr>
                <w:ilvl w:val="0"/>
                <w:numId w:val="8"/>
              </w:numPr>
              <w:spacing w:after="0" w:line="240" w:lineRule="auto"/>
              <w:contextualSpacing/>
              <w:rPr>
                <w:rFonts w:eastAsia="Times New Roman" w:cstheme="minorHAnsi"/>
                <w:sz w:val="18"/>
                <w:szCs w:val="18"/>
              </w:rPr>
            </w:pPr>
            <w:r w:rsidRPr="00673EDB">
              <w:rPr>
                <w:rFonts w:eastAsia="Times New Roman" w:cstheme="minorHAnsi"/>
                <w:sz w:val="18"/>
                <w:szCs w:val="18"/>
              </w:rPr>
              <w:t>Polycyclic aromatic hydrocarbons are defined as the total aromatic hydrocarbon content less the mon-aromatic hydrocarbon content.</w:t>
            </w:r>
          </w:p>
          <w:p w:rsidR="00344A4D" w:rsidRPr="00673EDB" w:rsidRDefault="00344A4D" w:rsidP="00344A4D">
            <w:pPr>
              <w:numPr>
                <w:ilvl w:val="0"/>
                <w:numId w:val="8"/>
              </w:numPr>
              <w:spacing w:after="0" w:line="240" w:lineRule="auto"/>
              <w:contextualSpacing/>
              <w:rPr>
                <w:rFonts w:eastAsia="Times New Roman" w:cstheme="minorHAnsi"/>
                <w:sz w:val="18"/>
                <w:szCs w:val="18"/>
              </w:rPr>
            </w:pPr>
            <w:r w:rsidRPr="00673EDB">
              <w:rPr>
                <w:rFonts w:eastAsia="Times New Roman" w:cstheme="minorHAnsi"/>
                <w:sz w:val="18"/>
                <w:szCs w:val="18"/>
              </w:rPr>
              <w:t xml:space="preserve">FAME – Fatty Acid </w:t>
            </w:r>
            <w:proofErr w:type="gramStart"/>
            <w:r w:rsidRPr="00673EDB">
              <w:rPr>
                <w:rFonts w:eastAsia="Times New Roman" w:cstheme="minorHAnsi"/>
                <w:sz w:val="18"/>
                <w:szCs w:val="18"/>
              </w:rPr>
              <w:t>methyl</w:t>
            </w:r>
            <w:proofErr w:type="gramEnd"/>
            <w:r w:rsidRPr="00673EDB">
              <w:rPr>
                <w:rFonts w:eastAsia="Times New Roman" w:cstheme="minorHAnsi"/>
                <w:sz w:val="18"/>
                <w:szCs w:val="18"/>
              </w:rPr>
              <w:t xml:space="preserve"> Ester (FAME) meeting EN14214 maximum content 7%.</w:t>
            </w:r>
          </w:p>
          <w:p w:rsidR="00344A4D" w:rsidRPr="00673EDB" w:rsidRDefault="00344A4D" w:rsidP="00344A4D">
            <w:pPr>
              <w:numPr>
                <w:ilvl w:val="0"/>
                <w:numId w:val="8"/>
              </w:numPr>
              <w:spacing w:after="0" w:line="240" w:lineRule="auto"/>
              <w:contextualSpacing/>
              <w:rPr>
                <w:rFonts w:eastAsia="Times New Roman" w:cstheme="minorHAnsi"/>
                <w:sz w:val="18"/>
                <w:szCs w:val="18"/>
              </w:rPr>
            </w:pPr>
            <w:r w:rsidRPr="00673EDB">
              <w:rPr>
                <w:rFonts w:eastAsia="Times New Roman" w:cstheme="minorHAnsi"/>
                <w:sz w:val="18"/>
                <w:szCs w:val="18"/>
              </w:rPr>
              <w:t>The Summer and Winter dates specified above apply to diesel being delivered from our import depots.</w:t>
            </w:r>
          </w:p>
          <w:p w:rsidR="00344A4D" w:rsidRPr="00673EDB" w:rsidRDefault="00344A4D" w:rsidP="00344A4D">
            <w:pPr>
              <w:numPr>
                <w:ilvl w:val="0"/>
                <w:numId w:val="8"/>
              </w:numPr>
              <w:spacing w:after="0" w:line="240" w:lineRule="auto"/>
              <w:contextualSpacing/>
              <w:rPr>
                <w:rFonts w:eastAsia="Times New Roman" w:cstheme="minorHAnsi"/>
                <w:sz w:val="18"/>
                <w:szCs w:val="18"/>
              </w:rPr>
            </w:pPr>
            <w:r w:rsidRPr="00673EDB">
              <w:rPr>
                <w:rFonts w:eastAsia="Times New Roman" w:cstheme="minorHAnsi"/>
                <w:sz w:val="18"/>
                <w:szCs w:val="18"/>
              </w:rPr>
              <w:t>Performance additives (detergent, anti-foam etc.) added as necessary at depots.</w:t>
            </w:r>
          </w:p>
          <w:p w:rsidR="00344A4D" w:rsidRPr="00673EDB" w:rsidRDefault="00344A4D" w:rsidP="00415333">
            <w:pPr>
              <w:spacing w:after="0" w:line="240" w:lineRule="auto"/>
              <w:contextualSpacing/>
              <w:rPr>
                <w:rFonts w:eastAsia="Times New Roman" w:cstheme="minorHAnsi"/>
                <w:sz w:val="18"/>
                <w:szCs w:val="18"/>
              </w:rPr>
            </w:pPr>
          </w:p>
        </w:tc>
      </w:tr>
    </w:tbl>
    <w:p w:rsidR="00344A4D" w:rsidRDefault="00344A4D" w:rsidP="00344A4D">
      <w:pPr>
        <w:autoSpaceDE w:val="0"/>
        <w:autoSpaceDN w:val="0"/>
        <w:adjustRightInd w:val="0"/>
        <w:spacing w:after="0" w:line="360" w:lineRule="auto"/>
        <w:jc w:val="both"/>
        <w:rPr>
          <w:rFonts w:cstheme="minorHAnsi"/>
          <w:sz w:val="24"/>
        </w:rPr>
      </w:pPr>
    </w:p>
    <w:p w:rsidR="00673EDB" w:rsidRDefault="00673EDB" w:rsidP="00344A4D">
      <w:pPr>
        <w:autoSpaceDE w:val="0"/>
        <w:autoSpaceDN w:val="0"/>
        <w:adjustRightInd w:val="0"/>
        <w:spacing w:after="0" w:line="360" w:lineRule="auto"/>
        <w:jc w:val="both"/>
        <w:rPr>
          <w:rFonts w:cstheme="minorHAnsi"/>
          <w:sz w:val="24"/>
        </w:rPr>
      </w:pPr>
    </w:p>
    <w:p w:rsidR="00673EDB" w:rsidRDefault="00673EDB" w:rsidP="00344A4D">
      <w:pPr>
        <w:autoSpaceDE w:val="0"/>
        <w:autoSpaceDN w:val="0"/>
        <w:adjustRightInd w:val="0"/>
        <w:spacing w:after="0" w:line="360" w:lineRule="auto"/>
        <w:jc w:val="both"/>
        <w:rPr>
          <w:rFonts w:cstheme="minorHAnsi"/>
          <w:sz w:val="24"/>
        </w:rPr>
      </w:pPr>
    </w:p>
    <w:p w:rsidR="00673EDB" w:rsidRPr="00673EDB" w:rsidRDefault="00673EDB" w:rsidP="00344A4D">
      <w:pPr>
        <w:autoSpaceDE w:val="0"/>
        <w:autoSpaceDN w:val="0"/>
        <w:adjustRightInd w:val="0"/>
        <w:spacing w:after="0" w:line="360" w:lineRule="auto"/>
        <w:jc w:val="both"/>
        <w:rPr>
          <w:rFonts w:cstheme="minorHAnsi"/>
          <w:sz w:val="24"/>
        </w:rPr>
      </w:pPr>
    </w:p>
    <w:p w:rsidR="00344A4D" w:rsidRPr="00673EDB" w:rsidRDefault="00344A4D" w:rsidP="00344A4D">
      <w:pPr>
        <w:autoSpaceDE w:val="0"/>
        <w:autoSpaceDN w:val="0"/>
        <w:adjustRightInd w:val="0"/>
        <w:spacing w:after="0" w:line="360" w:lineRule="auto"/>
        <w:jc w:val="both"/>
        <w:rPr>
          <w:rFonts w:cstheme="minorHAnsi"/>
          <w:b/>
          <w:sz w:val="24"/>
        </w:rPr>
      </w:pP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Proposal Preparation</w:t>
      </w:r>
    </w:p>
    <w:p w:rsidR="00344A4D" w:rsidRPr="00673EDB" w:rsidRDefault="00344A4D" w:rsidP="00344A4D">
      <w:pPr>
        <w:autoSpaceDE w:val="0"/>
        <w:autoSpaceDN w:val="0"/>
        <w:adjustRightInd w:val="0"/>
        <w:spacing w:after="0" w:line="360" w:lineRule="auto"/>
        <w:contextualSpacing/>
        <w:jc w:val="both"/>
        <w:rPr>
          <w:rFonts w:cstheme="minorHAnsi"/>
          <w:sz w:val="24"/>
        </w:rPr>
      </w:pPr>
      <w:r w:rsidRPr="00673EDB">
        <w:rPr>
          <w:rFonts w:cstheme="minorHAnsi"/>
          <w:sz w:val="24"/>
        </w:rPr>
        <w:t>Potential Suppliers, in order submit valid offers, must satisfy the following conditions and send the following documentation:</w:t>
      </w:r>
    </w:p>
    <w:p w:rsidR="00344A4D" w:rsidRPr="00673EDB" w:rsidRDefault="00344A4D" w:rsidP="00344A4D">
      <w:pPr>
        <w:autoSpaceDE w:val="0"/>
        <w:autoSpaceDN w:val="0"/>
        <w:adjustRightInd w:val="0"/>
        <w:spacing w:after="0" w:line="360" w:lineRule="auto"/>
        <w:jc w:val="both"/>
        <w:rPr>
          <w:rFonts w:cstheme="minorHAnsi"/>
          <w:sz w:val="24"/>
          <w:szCs w:val="24"/>
        </w:rPr>
      </w:pPr>
    </w:p>
    <w:p w:rsidR="00344A4D" w:rsidRPr="00673EDB" w:rsidRDefault="00344A4D" w:rsidP="00344A4D">
      <w:pPr>
        <w:autoSpaceDE w:val="0"/>
        <w:autoSpaceDN w:val="0"/>
        <w:adjustRightInd w:val="0"/>
        <w:spacing w:after="0" w:line="360" w:lineRule="auto"/>
        <w:jc w:val="both"/>
        <w:rPr>
          <w:rFonts w:cstheme="minorHAnsi"/>
          <w:b/>
          <w:sz w:val="24"/>
          <w:szCs w:val="24"/>
          <w:u w:val="single"/>
        </w:rPr>
      </w:pPr>
      <w:r w:rsidRPr="00673EDB">
        <w:rPr>
          <w:rFonts w:cstheme="minorHAnsi"/>
          <w:b/>
          <w:sz w:val="24"/>
          <w:szCs w:val="24"/>
          <w:u w:val="single"/>
        </w:rPr>
        <w:t>Mandatory Documentation</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 xml:space="preserve">Signed </w:t>
      </w:r>
      <w:proofErr w:type="spellStart"/>
      <w:r w:rsidRPr="00673EDB">
        <w:rPr>
          <w:rFonts w:asciiTheme="minorHAnsi" w:hAnsiTheme="minorHAnsi" w:cstheme="minorHAnsi"/>
          <w:sz w:val="24"/>
          <w:szCs w:val="24"/>
          <w:lang w:val="en-US"/>
        </w:rPr>
        <w:t>RfP</w:t>
      </w:r>
      <w:proofErr w:type="spellEnd"/>
      <w:r w:rsidRPr="00673EDB">
        <w:rPr>
          <w:rFonts w:asciiTheme="minorHAnsi" w:hAnsiTheme="minorHAnsi" w:cstheme="minorHAnsi"/>
          <w:sz w:val="24"/>
          <w:szCs w:val="24"/>
          <w:lang w:val="en-US"/>
        </w:rPr>
        <w:t xml:space="preserve"> (this present document) by the supplier legal representative as to attest that the bidding supplier agrees with the Tender methodology and complies with the requirements set out in the tender documentation, namely:</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Price</w:t>
      </w:r>
      <w:r w:rsidRPr="00673EDB">
        <w:rPr>
          <w:rFonts w:asciiTheme="minorHAnsi" w:hAnsiTheme="minorHAnsi" w:cstheme="minorHAnsi"/>
          <w:sz w:val="24"/>
          <w:szCs w:val="24"/>
          <w:shd w:val="clear" w:color="auto" w:fill="FFFFFF" w:themeFill="background1"/>
          <w:lang w:val="en-US"/>
        </w:rPr>
        <w:t xml:space="preserve"> quotations and other criteria inserted for the relevant countries inserted in </w:t>
      </w:r>
      <w:r w:rsidRPr="00673EDB">
        <w:rPr>
          <w:rFonts w:asciiTheme="minorHAnsi" w:hAnsiTheme="minorHAnsi" w:cstheme="minorHAnsi"/>
          <w:sz w:val="24"/>
          <w:szCs w:val="24"/>
          <w:lang w:val="en-US"/>
        </w:rPr>
        <w:t>Appendix 1 – “Specification, Requirements and Pricing Module” – signed;</w:t>
      </w:r>
    </w:p>
    <w:p w:rsidR="00344A4D" w:rsidRPr="00673EDB" w:rsidRDefault="00344A4D" w:rsidP="00344A4D">
      <w:pPr>
        <w:pStyle w:val="ListParagraph"/>
        <w:numPr>
          <w:ilvl w:val="0"/>
          <w:numId w:val="9"/>
        </w:numPr>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Appendix 2 – “Arriva Code of Conduct”- signed;</w:t>
      </w:r>
    </w:p>
    <w:p w:rsidR="00344A4D" w:rsidRPr="00673EDB" w:rsidRDefault="00344A4D" w:rsidP="00344A4D">
      <w:pPr>
        <w:pStyle w:val="ListParagraph"/>
        <w:numPr>
          <w:ilvl w:val="0"/>
          <w:numId w:val="9"/>
        </w:numPr>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Appendix 3 – “Arriva Responsible Procurement Policy” – signed;</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Copy of the powers of attorney of the legal representative of the bidding supplier submitting the offer;</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Copy of Safety Datasheets; and</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Copy of Technical Datasheets.</w:t>
      </w:r>
    </w:p>
    <w:p w:rsidR="00344A4D" w:rsidRPr="00673EDB" w:rsidRDefault="00344A4D" w:rsidP="00344A4D">
      <w:pPr>
        <w:pStyle w:val="ListParagraph"/>
        <w:autoSpaceDE w:val="0"/>
        <w:autoSpaceDN w:val="0"/>
        <w:adjustRightInd w:val="0"/>
        <w:spacing w:after="0" w:line="360" w:lineRule="auto"/>
        <w:jc w:val="both"/>
        <w:rPr>
          <w:rFonts w:asciiTheme="minorHAnsi" w:hAnsiTheme="minorHAnsi" w:cstheme="minorHAnsi"/>
          <w:sz w:val="24"/>
          <w:szCs w:val="24"/>
          <w:lang w:val="en-US"/>
        </w:rPr>
      </w:pPr>
    </w:p>
    <w:p w:rsidR="00344A4D" w:rsidRPr="00673EDB" w:rsidRDefault="00344A4D" w:rsidP="00344A4D">
      <w:pPr>
        <w:autoSpaceDE w:val="0"/>
        <w:autoSpaceDN w:val="0"/>
        <w:adjustRightInd w:val="0"/>
        <w:spacing w:after="0" w:line="360" w:lineRule="auto"/>
        <w:jc w:val="both"/>
        <w:rPr>
          <w:rFonts w:cstheme="minorHAnsi"/>
          <w:b/>
          <w:sz w:val="24"/>
          <w:szCs w:val="24"/>
          <w:u w:val="single"/>
        </w:rPr>
      </w:pPr>
      <w:r w:rsidRPr="00673EDB">
        <w:rPr>
          <w:rFonts w:cstheme="minorHAnsi"/>
          <w:b/>
          <w:sz w:val="24"/>
          <w:szCs w:val="24"/>
          <w:u w:val="single"/>
        </w:rPr>
        <w:t>Support Documentation</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Copy of Specifications Approvals and Homologation</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 xml:space="preserve">Copy of ISO 9001 Certification. </w:t>
      </w:r>
    </w:p>
    <w:p w:rsidR="00344A4D" w:rsidRPr="00673EDB" w:rsidRDefault="00344A4D" w:rsidP="00344A4D">
      <w:pPr>
        <w:pStyle w:val="ListParagraph"/>
        <w:numPr>
          <w:ilvl w:val="0"/>
          <w:numId w:val="9"/>
        </w:numPr>
        <w:autoSpaceDE w:val="0"/>
        <w:autoSpaceDN w:val="0"/>
        <w:adjustRightInd w:val="0"/>
        <w:spacing w:after="0" w:line="360" w:lineRule="auto"/>
        <w:jc w:val="both"/>
        <w:rPr>
          <w:rFonts w:asciiTheme="minorHAnsi" w:hAnsiTheme="minorHAnsi" w:cstheme="minorHAnsi"/>
          <w:sz w:val="24"/>
          <w:szCs w:val="24"/>
          <w:lang w:val="en-US"/>
        </w:rPr>
      </w:pPr>
      <w:r w:rsidRPr="00673EDB">
        <w:rPr>
          <w:rFonts w:asciiTheme="minorHAnsi" w:hAnsiTheme="minorHAnsi" w:cstheme="minorHAnsi"/>
          <w:sz w:val="24"/>
          <w:szCs w:val="24"/>
          <w:lang w:val="en-US"/>
        </w:rPr>
        <w:t>Copy of ISO 14001 Certification</w:t>
      </w:r>
    </w:p>
    <w:p w:rsidR="00344A4D" w:rsidRPr="00673EDB" w:rsidRDefault="00344A4D" w:rsidP="00344A4D">
      <w:pPr>
        <w:autoSpaceDE w:val="0"/>
        <w:autoSpaceDN w:val="0"/>
        <w:adjustRightInd w:val="0"/>
        <w:spacing w:after="0" w:line="360" w:lineRule="auto"/>
        <w:contextualSpacing/>
        <w:jc w:val="both"/>
        <w:rPr>
          <w:rFonts w:cstheme="minorHAnsi"/>
          <w:sz w:val="24"/>
        </w:rPr>
      </w:pPr>
    </w:p>
    <w:p w:rsidR="00344A4D" w:rsidRPr="00673EDB" w:rsidRDefault="00344A4D" w:rsidP="00344A4D">
      <w:pPr>
        <w:autoSpaceDE w:val="0"/>
        <w:autoSpaceDN w:val="0"/>
        <w:adjustRightInd w:val="0"/>
        <w:spacing w:after="0" w:line="360" w:lineRule="auto"/>
        <w:contextualSpacing/>
        <w:jc w:val="both"/>
        <w:rPr>
          <w:rFonts w:cstheme="minorHAnsi"/>
          <w:sz w:val="24"/>
          <w:u w:val="single"/>
        </w:rPr>
      </w:pPr>
      <w:r w:rsidRPr="00673EDB">
        <w:rPr>
          <w:rFonts w:cstheme="minorHAnsi"/>
          <w:sz w:val="24"/>
          <w:u w:val="single"/>
        </w:rPr>
        <w:t xml:space="preserve">The documentation listed above must be submitted by the 20.03.2019 both via post or personally (paper documentation) and via e-mail, in pdf and excel files, as defined. These files hall be sent </w:t>
      </w:r>
      <w:r w:rsidRPr="00673EDB">
        <w:rPr>
          <w:rFonts w:cstheme="minorHAnsi"/>
          <w:sz w:val="24"/>
          <w:u w:val="single"/>
        </w:rPr>
        <w:lastRenderedPageBreak/>
        <w:t xml:space="preserve">to the Arriva Points of Contact as detailed in </w:t>
      </w:r>
      <w:r w:rsidRPr="00673EDB">
        <w:rPr>
          <w:rFonts w:cstheme="minorHAnsi"/>
          <w:b/>
          <w:sz w:val="24"/>
          <w:u w:val="single"/>
        </w:rPr>
        <w:t>10. Future Correspondence / Points of Contact, in English or Serbian language.</w:t>
      </w: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Evaluation and Award Process</w:t>
      </w:r>
    </w:p>
    <w:p w:rsidR="00344A4D" w:rsidRPr="00673EDB" w:rsidRDefault="00344A4D" w:rsidP="00344A4D">
      <w:pPr>
        <w:autoSpaceDE w:val="0"/>
        <w:autoSpaceDN w:val="0"/>
        <w:adjustRightInd w:val="0"/>
        <w:spacing w:after="0" w:line="360" w:lineRule="auto"/>
        <w:jc w:val="both"/>
        <w:rPr>
          <w:rFonts w:cstheme="minorHAnsi"/>
          <w:color w:val="000000"/>
          <w:sz w:val="24"/>
          <w:szCs w:val="24"/>
        </w:rPr>
      </w:pPr>
      <w:r w:rsidRPr="00673EDB">
        <w:rPr>
          <w:rFonts w:cstheme="minorHAnsi"/>
          <w:color w:val="000000"/>
          <w:sz w:val="24"/>
          <w:szCs w:val="24"/>
        </w:rPr>
        <w:t xml:space="preserve">The tender will be awarded to the lowest price. Arriva Serbia, reserves the right to proceed to an additional negotiation with a shortlist of the suppliers that issue the best offer. The awarding or the exclusion of the offers will be communicated via fax or e-mail. </w:t>
      </w:r>
    </w:p>
    <w:p w:rsidR="00344A4D" w:rsidRPr="00673EDB" w:rsidRDefault="00344A4D" w:rsidP="00344A4D">
      <w:pPr>
        <w:autoSpaceDE w:val="0"/>
        <w:autoSpaceDN w:val="0"/>
        <w:adjustRightInd w:val="0"/>
        <w:spacing w:after="0" w:line="360" w:lineRule="auto"/>
        <w:jc w:val="both"/>
        <w:rPr>
          <w:rFonts w:cstheme="minorHAnsi"/>
          <w:color w:val="000000"/>
          <w:sz w:val="24"/>
          <w:szCs w:val="24"/>
        </w:rPr>
      </w:pPr>
    </w:p>
    <w:p w:rsidR="00344A4D" w:rsidRPr="00673EDB" w:rsidRDefault="00344A4D" w:rsidP="00344A4D">
      <w:pPr>
        <w:spacing w:after="0" w:line="360" w:lineRule="auto"/>
        <w:textAlignment w:val="top"/>
        <w:rPr>
          <w:rFonts w:cstheme="minorHAnsi"/>
          <w:color w:val="000000"/>
          <w:sz w:val="24"/>
          <w:szCs w:val="24"/>
        </w:rPr>
      </w:pPr>
      <w:r w:rsidRPr="00673EDB">
        <w:rPr>
          <w:rFonts w:cstheme="minorHAnsi"/>
          <w:color w:val="000000"/>
          <w:sz w:val="24"/>
          <w:szCs w:val="24"/>
        </w:rPr>
        <w:t xml:space="preserve">Suppliers are </w:t>
      </w:r>
      <w:r w:rsidRPr="00673EDB">
        <w:rPr>
          <w:rFonts w:cstheme="minorHAnsi"/>
          <w:b/>
          <w:color w:val="000000"/>
          <w:sz w:val="24"/>
          <w:szCs w:val="24"/>
          <w:u w:val="single"/>
        </w:rPr>
        <w:t>requested to supply 2 quotations for Lot 1 as per the price formulas in Point 8.1 defined below. For Lot 2, suppliers are required to provide only the Wholesale Price Formula as per Point 8.2</w:t>
      </w:r>
      <w:r w:rsidRPr="00673EDB">
        <w:rPr>
          <w:rFonts w:cstheme="minorHAnsi"/>
          <w:color w:val="000000"/>
          <w:sz w:val="24"/>
          <w:szCs w:val="24"/>
        </w:rPr>
        <w:t>. The agreed price formulae shall be presented clearly in the contract.</w:t>
      </w:r>
    </w:p>
    <w:p w:rsidR="00344A4D" w:rsidRPr="00673EDB" w:rsidRDefault="00344A4D" w:rsidP="00344A4D">
      <w:pPr>
        <w:autoSpaceDE w:val="0"/>
        <w:autoSpaceDN w:val="0"/>
        <w:adjustRightInd w:val="0"/>
        <w:spacing w:after="0" w:line="360" w:lineRule="auto"/>
        <w:jc w:val="both"/>
        <w:rPr>
          <w:rFonts w:cstheme="minorHAnsi"/>
          <w:color w:val="000000"/>
          <w:sz w:val="24"/>
          <w:szCs w:val="24"/>
        </w:rPr>
      </w:pPr>
    </w:p>
    <w:p w:rsidR="00344A4D" w:rsidRPr="00673EDB" w:rsidRDefault="00344A4D" w:rsidP="00344A4D">
      <w:pPr>
        <w:spacing w:after="0" w:line="360" w:lineRule="auto"/>
        <w:rPr>
          <w:rFonts w:cstheme="minorHAnsi"/>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Prici</w:t>
      </w:r>
      <w:bookmarkStart w:id="2" w:name="_Ref226196795"/>
      <w:r w:rsidRPr="00673EDB">
        <w:rPr>
          <w:rFonts w:asciiTheme="minorHAnsi" w:eastAsia="Calibri" w:hAnsiTheme="minorHAnsi" w:cstheme="minorHAnsi"/>
          <w:bCs w:val="0"/>
          <w:kern w:val="0"/>
          <w:sz w:val="28"/>
          <w:szCs w:val="22"/>
          <w:lang w:val="en-US" w:eastAsia="en-US"/>
        </w:rPr>
        <w:t>ng Formula – Platts Index Price</w:t>
      </w:r>
    </w:p>
    <w:p w:rsidR="00344A4D" w:rsidRPr="00673EDB" w:rsidRDefault="00344A4D" w:rsidP="00344A4D">
      <w:pPr>
        <w:spacing w:after="0" w:line="360" w:lineRule="auto"/>
        <w:textAlignment w:val="top"/>
        <w:rPr>
          <w:rFonts w:cstheme="minorHAnsi"/>
          <w:color w:val="000000"/>
          <w:sz w:val="24"/>
          <w:szCs w:val="24"/>
        </w:rPr>
      </w:pPr>
      <w:r w:rsidRPr="00673EDB">
        <w:rPr>
          <w:rFonts w:cstheme="minorHAnsi"/>
          <w:color w:val="000000"/>
          <w:sz w:val="24"/>
          <w:szCs w:val="24"/>
        </w:rPr>
        <w:t>When working the total price without VAT, the Platts Pricing Formula should be as such:</w:t>
      </w:r>
    </w:p>
    <w:p w:rsidR="00344A4D" w:rsidRPr="00673EDB" w:rsidRDefault="00344A4D" w:rsidP="00344A4D">
      <w:pPr>
        <w:spacing w:after="0" w:line="360" w:lineRule="auto"/>
        <w:textAlignment w:val="top"/>
        <w:rPr>
          <w:rFonts w:cstheme="minorHAnsi"/>
          <w:color w:val="000000"/>
          <w:sz w:val="24"/>
          <w:szCs w:val="24"/>
        </w:rPr>
      </w:pPr>
    </w:p>
    <w:p w:rsidR="00344A4D" w:rsidRPr="00673EDB" w:rsidRDefault="00344A4D" w:rsidP="00344A4D">
      <w:pPr>
        <w:spacing w:after="0" w:line="360" w:lineRule="auto"/>
        <w:textAlignment w:val="top"/>
        <w:rPr>
          <w:rFonts w:cstheme="minorHAnsi"/>
          <w:color w:val="000000"/>
          <w:sz w:val="24"/>
          <w:szCs w:val="24"/>
        </w:rPr>
      </w:pPr>
    </w:p>
    <w:p w:rsidR="00344A4D" w:rsidRPr="00673EDB" w:rsidRDefault="00344A4D" w:rsidP="00344A4D">
      <w:pPr>
        <w:spacing w:after="0" w:line="360" w:lineRule="auto"/>
        <w:jc w:val="center"/>
        <w:rPr>
          <w:rFonts w:cstheme="minorHAnsi"/>
          <w:b/>
          <w:color w:val="000000"/>
          <w:sz w:val="32"/>
          <w:szCs w:val="32"/>
        </w:rPr>
      </w:pPr>
      <w:r w:rsidRPr="00673EDB">
        <w:rPr>
          <w:rFonts w:cstheme="minorHAnsi"/>
          <w:b/>
          <w:color w:val="000000"/>
          <w:sz w:val="32"/>
          <w:szCs w:val="32"/>
        </w:rPr>
        <w:t xml:space="preserve">(Platt's Quotation x $ / RSD x Density) + </w:t>
      </w:r>
    </w:p>
    <w:p w:rsidR="00344A4D" w:rsidRPr="00673EDB" w:rsidRDefault="00344A4D" w:rsidP="00344A4D">
      <w:pPr>
        <w:spacing w:after="0" w:line="360" w:lineRule="auto"/>
        <w:jc w:val="center"/>
        <w:rPr>
          <w:rFonts w:cstheme="minorHAnsi"/>
          <w:b/>
          <w:color w:val="000000"/>
          <w:sz w:val="32"/>
          <w:szCs w:val="32"/>
        </w:rPr>
      </w:pPr>
      <w:r w:rsidRPr="00673EDB">
        <w:rPr>
          <w:rFonts w:cstheme="minorHAnsi"/>
          <w:b/>
          <w:color w:val="000000"/>
          <w:sz w:val="32"/>
          <w:szCs w:val="32"/>
        </w:rPr>
        <w:t>Excise Duty/Taxes/Contributions + Spread</w:t>
      </w:r>
    </w:p>
    <w:p w:rsidR="00344A4D" w:rsidRPr="00673EDB" w:rsidRDefault="00344A4D" w:rsidP="00344A4D">
      <w:pPr>
        <w:spacing w:after="0" w:line="360" w:lineRule="auto"/>
        <w:jc w:val="both"/>
        <w:rPr>
          <w:rFonts w:cstheme="minorHAnsi"/>
          <w:color w:val="000000"/>
          <w:sz w:val="24"/>
          <w:szCs w:val="24"/>
        </w:rPr>
      </w:pP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t xml:space="preserve">Where: </w:t>
      </w:r>
      <w:r w:rsidRPr="00673EDB">
        <w:rPr>
          <w:rFonts w:cstheme="minorHAnsi"/>
          <w:color w:val="000000"/>
          <w:sz w:val="24"/>
          <w:szCs w:val="24"/>
        </w:rPr>
        <w:br/>
      </w:r>
      <w:r w:rsidRPr="00673EDB">
        <w:rPr>
          <w:rFonts w:cstheme="minorHAnsi"/>
          <w:color w:val="000000"/>
          <w:sz w:val="24"/>
          <w:szCs w:val="24"/>
        </w:rPr>
        <w:br/>
      </w:r>
      <w:r w:rsidRPr="00673EDB">
        <w:rPr>
          <w:rFonts w:cstheme="minorHAnsi"/>
          <w:b/>
          <w:color w:val="000000"/>
          <w:sz w:val="24"/>
          <w:szCs w:val="24"/>
        </w:rPr>
        <w:t>Platts Quotation</w:t>
      </w:r>
      <w:r w:rsidRPr="00673EDB">
        <w:rPr>
          <w:rFonts w:cstheme="minorHAnsi"/>
          <w:color w:val="000000"/>
          <w:sz w:val="24"/>
          <w:szCs w:val="24"/>
        </w:rPr>
        <w:t>: is a fixed value for the daily quotation of fuel in $ (dollars) per ton. For contract pricing formula purposes, it can be used the average Platts quotation from the week prior to the delivery.</w:t>
      </w:r>
    </w:p>
    <w:p w:rsidR="00344A4D" w:rsidRPr="00673EDB" w:rsidRDefault="00344A4D" w:rsidP="00344A4D">
      <w:pPr>
        <w:spacing w:after="0" w:line="360" w:lineRule="auto"/>
        <w:jc w:val="both"/>
        <w:rPr>
          <w:rFonts w:cstheme="minorHAnsi"/>
          <w:color w:val="000000"/>
          <w:sz w:val="24"/>
          <w:szCs w:val="24"/>
        </w:rPr>
      </w:pP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t>The following Platts indexes can be used:</w:t>
      </w:r>
    </w:p>
    <w:p w:rsidR="00344A4D" w:rsidRPr="00673EDB" w:rsidRDefault="00344A4D" w:rsidP="00344A4D">
      <w:pPr>
        <w:pStyle w:val="ListParagraph"/>
        <w:numPr>
          <w:ilvl w:val="0"/>
          <w:numId w:val="5"/>
        </w:numPr>
        <w:spacing w:after="0" w:line="360" w:lineRule="auto"/>
        <w:jc w:val="both"/>
        <w:rPr>
          <w:rFonts w:asciiTheme="minorHAnsi" w:hAnsiTheme="minorHAnsi" w:cstheme="minorHAnsi"/>
          <w:color w:val="000000"/>
          <w:sz w:val="28"/>
          <w:szCs w:val="24"/>
          <w:lang w:val="en-US"/>
        </w:rPr>
      </w:pPr>
      <w:r w:rsidRPr="00673EDB">
        <w:rPr>
          <w:rFonts w:asciiTheme="minorHAnsi" w:hAnsiTheme="minorHAnsi" w:cstheme="minorHAnsi"/>
          <w:b/>
          <w:color w:val="000000"/>
          <w:sz w:val="24"/>
          <w:szCs w:val="24"/>
          <w:lang w:val="en-US"/>
        </w:rPr>
        <w:lastRenderedPageBreak/>
        <w:t xml:space="preserve">AAWYY00-H - ULSD 10 ppm FOB Med Genova/Lavera High (US $/t); </w:t>
      </w:r>
      <w:r w:rsidRPr="00673EDB">
        <w:rPr>
          <w:rFonts w:asciiTheme="minorHAnsi" w:hAnsiTheme="minorHAnsi" w:cstheme="minorHAnsi"/>
          <w:color w:val="000000"/>
          <w:sz w:val="24"/>
          <w:szCs w:val="24"/>
          <w:lang w:val="en-US"/>
        </w:rPr>
        <w:t>or</w:t>
      </w:r>
    </w:p>
    <w:p w:rsidR="00344A4D" w:rsidRPr="00673EDB" w:rsidRDefault="00344A4D" w:rsidP="00344A4D">
      <w:pPr>
        <w:pStyle w:val="ListParagraph"/>
        <w:numPr>
          <w:ilvl w:val="0"/>
          <w:numId w:val="5"/>
        </w:numPr>
        <w:spacing w:after="0" w:line="360" w:lineRule="auto"/>
        <w:jc w:val="both"/>
        <w:rPr>
          <w:rFonts w:asciiTheme="minorHAnsi" w:hAnsiTheme="minorHAnsi" w:cstheme="minorHAnsi"/>
          <w:b/>
          <w:color w:val="000000"/>
          <w:sz w:val="28"/>
          <w:szCs w:val="24"/>
          <w:lang w:val="en-US"/>
        </w:rPr>
      </w:pPr>
      <w:r w:rsidRPr="00673EDB">
        <w:rPr>
          <w:rFonts w:asciiTheme="minorHAnsi" w:hAnsiTheme="minorHAnsi" w:cstheme="minorHAnsi"/>
          <w:b/>
          <w:color w:val="000000"/>
          <w:sz w:val="24"/>
          <w:szCs w:val="24"/>
          <w:lang w:val="en-US"/>
        </w:rPr>
        <w:t>AAJUS00-H - Diesel 10 ppm Barges Fob Rotterdam High (US $/t)</w:t>
      </w: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br/>
      </w:r>
      <w:r w:rsidRPr="00673EDB">
        <w:rPr>
          <w:rFonts w:cstheme="minorHAnsi"/>
          <w:b/>
          <w:color w:val="000000"/>
          <w:sz w:val="24"/>
          <w:szCs w:val="24"/>
        </w:rPr>
        <w:t>Exchange Rates $/RSD</w:t>
      </w:r>
      <w:r w:rsidRPr="00673EDB">
        <w:rPr>
          <w:rFonts w:cstheme="minorHAnsi"/>
          <w:color w:val="000000"/>
          <w:sz w:val="24"/>
          <w:szCs w:val="24"/>
        </w:rPr>
        <w:t xml:space="preserve"> - the value of the average daily exchange rate between Dollars ($) and Serbian Dinars (RSD) set by the Serbian Central Bank on a daily basis.</w:t>
      </w: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br/>
      </w:r>
      <w:r w:rsidRPr="00673EDB">
        <w:rPr>
          <w:rFonts w:cstheme="minorHAnsi"/>
          <w:b/>
          <w:color w:val="000000"/>
          <w:sz w:val="24"/>
          <w:szCs w:val="24"/>
        </w:rPr>
        <w:t>Density:</w:t>
      </w:r>
      <w:r w:rsidRPr="00673EDB">
        <w:rPr>
          <w:rFonts w:cstheme="minorHAnsi"/>
          <w:color w:val="000000"/>
          <w:sz w:val="24"/>
          <w:szCs w:val="24"/>
        </w:rPr>
        <w:t xml:space="preserve"> results from the conversion of tons to liters and is fixed at 0.845 </w:t>
      </w: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br/>
      </w:r>
      <w:r w:rsidRPr="00673EDB">
        <w:rPr>
          <w:rFonts w:cstheme="minorHAnsi"/>
          <w:b/>
          <w:color w:val="000000"/>
          <w:sz w:val="24"/>
          <w:szCs w:val="24"/>
        </w:rPr>
        <w:t>Spread:</w:t>
      </w:r>
      <w:r w:rsidRPr="00673EDB">
        <w:rPr>
          <w:rFonts w:cstheme="minorHAnsi"/>
          <w:color w:val="000000"/>
          <w:sz w:val="24"/>
          <w:szCs w:val="24"/>
        </w:rPr>
        <w:t xml:space="preserve"> includes all the remaining pricing components (handling fee, distribution and transport fees, </w:t>
      </w:r>
      <w:proofErr w:type="spellStart"/>
      <w:r w:rsidRPr="00673EDB">
        <w:rPr>
          <w:rFonts w:cstheme="minorHAnsi"/>
          <w:color w:val="000000"/>
          <w:sz w:val="24"/>
          <w:szCs w:val="24"/>
        </w:rPr>
        <w:t>etc</w:t>
      </w:r>
      <w:proofErr w:type="spellEnd"/>
      <w:r w:rsidRPr="00673EDB">
        <w:rPr>
          <w:rFonts w:cstheme="minorHAnsi"/>
          <w:color w:val="000000"/>
          <w:sz w:val="24"/>
          <w:szCs w:val="24"/>
        </w:rPr>
        <w:t xml:space="preserve">) plus the margin from the supplier.  </w:t>
      </w:r>
    </w:p>
    <w:p w:rsidR="00344A4D" w:rsidRPr="00673EDB" w:rsidRDefault="00344A4D" w:rsidP="00344A4D">
      <w:pPr>
        <w:spacing w:after="0" w:line="360" w:lineRule="auto"/>
        <w:jc w:val="both"/>
        <w:rPr>
          <w:rFonts w:cstheme="minorHAnsi"/>
          <w:color w:val="000000"/>
          <w:sz w:val="24"/>
          <w:szCs w:val="24"/>
        </w:rPr>
      </w:pPr>
    </w:p>
    <w:p w:rsidR="00344A4D" w:rsidRPr="00673EDB" w:rsidRDefault="00344A4D" w:rsidP="00344A4D">
      <w:pPr>
        <w:spacing w:after="0" w:line="360" w:lineRule="auto"/>
        <w:jc w:val="both"/>
        <w:rPr>
          <w:rFonts w:cstheme="minorHAnsi"/>
          <w:color w:val="000000"/>
          <w:sz w:val="24"/>
          <w:szCs w:val="24"/>
        </w:rPr>
      </w:pPr>
    </w:p>
    <w:p w:rsidR="00344A4D" w:rsidRPr="00673EDB" w:rsidRDefault="00344A4D" w:rsidP="00344A4D">
      <w:pPr>
        <w:pStyle w:val="Heading1"/>
        <w:numPr>
          <w:ilvl w:val="1"/>
          <w:numId w:val="2"/>
        </w:numPr>
        <w:spacing w:before="0" w:after="0" w:line="360" w:lineRule="auto"/>
        <w:rPr>
          <w:rFonts w:asciiTheme="minorHAnsi" w:eastAsia="Calibri" w:hAnsiTheme="minorHAnsi" w:cstheme="minorHAnsi"/>
          <w:bCs w:val="0"/>
          <w:kern w:val="0"/>
          <w:sz w:val="28"/>
          <w:szCs w:val="22"/>
          <w:lang w:val="en-US" w:eastAsia="en-US"/>
        </w:rPr>
      </w:pPr>
      <w:r w:rsidRPr="00673EDB">
        <w:rPr>
          <w:rFonts w:asciiTheme="minorHAnsi" w:eastAsia="Calibri" w:hAnsiTheme="minorHAnsi" w:cstheme="minorHAnsi"/>
          <w:bCs w:val="0"/>
          <w:kern w:val="0"/>
          <w:sz w:val="28"/>
          <w:szCs w:val="22"/>
          <w:lang w:val="en-US" w:eastAsia="en-US"/>
        </w:rPr>
        <w:t>Pricing Formula – Wholesale Price</w:t>
      </w:r>
    </w:p>
    <w:p w:rsidR="00344A4D" w:rsidRPr="00673EDB" w:rsidRDefault="00344A4D" w:rsidP="00344A4D">
      <w:pPr>
        <w:spacing w:after="0" w:line="360" w:lineRule="auto"/>
        <w:textAlignment w:val="top"/>
        <w:rPr>
          <w:rFonts w:cstheme="minorHAnsi"/>
          <w:color w:val="000000"/>
          <w:sz w:val="24"/>
          <w:szCs w:val="24"/>
        </w:rPr>
      </w:pPr>
      <w:r w:rsidRPr="00673EDB">
        <w:rPr>
          <w:rFonts w:cstheme="minorHAnsi"/>
          <w:color w:val="000000"/>
          <w:sz w:val="24"/>
          <w:szCs w:val="24"/>
        </w:rPr>
        <w:t>When working the total price without VAT, the Wholesale Pricing Formula should be as such:</w:t>
      </w:r>
    </w:p>
    <w:p w:rsidR="00344A4D" w:rsidRPr="00673EDB" w:rsidRDefault="00344A4D" w:rsidP="00344A4D">
      <w:pPr>
        <w:spacing w:after="0" w:line="360" w:lineRule="auto"/>
        <w:textAlignment w:val="top"/>
        <w:rPr>
          <w:rFonts w:cstheme="minorHAnsi"/>
          <w:color w:val="000000"/>
          <w:sz w:val="24"/>
          <w:szCs w:val="24"/>
        </w:rPr>
      </w:pPr>
    </w:p>
    <w:p w:rsidR="00344A4D" w:rsidRPr="00673EDB" w:rsidRDefault="00344A4D" w:rsidP="00344A4D">
      <w:pPr>
        <w:spacing w:after="0" w:line="360" w:lineRule="auto"/>
        <w:jc w:val="center"/>
        <w:rPr>
          <w:rFonts w:cstheme="minorHAnsi"/>
          <w:b/>
          <w:color w:val="000000"/>
          <w:sz w:val="32"/>
          <w:szCs w:val="32"/>
        </w:rPr>
      </w:pPr>
      <w:r w:rsidRPr="00673EDB">
        <w:rPr>
          <w:rFonts w:cstheme="minorHAnsi"/>
          <w:b/>
          <w:color w:val="000000"/>
          <w:sz w:val="32"/>
          <w:szCs w:val="32"/>
        </w:rPr>
        <w:t>Supplier Wholesale Price List – (minus) Discount</w:t>
      </w:r>
    </w:p>
    <w:p w:rsidR="00344A4D" w:rsidRPr="00673EDB" w:rsidRDefault="00344A4D" w:rsidP="00344A4D">
      <w:pPr>
        <w:spacing w:after="0" w:line="360" w:lineRule="auto"/>
        <w:jc w:val="center"/>
        <w:rPr>
          <w:rFonts w:cstheme="minorHAnsi"/>
          <w:b/>
          <w:color w:val="000000"/>
          <w:sz w:val="32"/>
          <w:szCs w:val="32"/>
        </w:rPr>
      </w:pP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t xml:space="preserve">Where: </w:t>
      </w:r>
    </w:p>
    <w:p w:rsidR="00344A4D" w:rsidRPr="00673EDB" w:rsidRDefault="00344A4D" w:rsidP="00344A4D">
      <w:pPr>
        <w:spacing w:after="0" w:line="360" w:lineRule="auto"/>
        <w:jc w:val="both"/>
        <w:rPr>
          <w:rFonts w:cstheme="minorHAnsi"/>
          <w:color w:val="000000"/>
          <w:sz w:val="24"/>
          <w:szCs w:val="24"/>
        </w:rPr>
      </w:pPr>
      <w:r w:rsidRPr="00673EDB">
        <w:rPr>
          <w:rFonts w:cstheme="minorHAnsi"/>
          <w:color w:val="000000"/>
          <w:sz w:val="24"/>
          <w:szCs w:val="24"/>
        </w:rPr>
        <w:br/>
      </w:r>
      <w:r w:rsidRPr="00673EDB">
        <w:rPr>
          <w:rFonts w:cstheme="minorHAnsi"/>
          <w:b/>
          <w:color w:val="000000"/>
          <w:sz w:val="24"/>
          <w:szCs w:val="24"/>
        </w:rPr>
        <w:t>Supplier Wholesale Price List</w:t>
      </w:r>
      <w:r w:rsidRPr="00673EDB">
        <w:rPr>
          <w:rFonts w:cstheme="minorHAnsi"/>
          <w:color w:val="000000"/>
          <w:sz w:val="24"/>
          <w:szCs w:val="24"/>
        </w:rPr>
        <w:t>: is a public pricing list used as reference by the bidding supplier and easily accessible. Prices are quotes in RSD.</w:t>
      </w:r>
    </w:p>
    <w:p w:rsidR="00344A4D" w:rsidRPr="00673EDB" w:rsidRDefault="00344A4D" w:rsidP="00344A4D">
      <w:pPr>
        <w:spacing w:after="0" w:line="360" w:lineRule="auto"/>
        <w:jc w:val="both"/>
        <w:rPr>
          <w:rFonts w:cstheme="minorHAnsi"/>
          <w:color w:val="000000"/>
          <w:sz w:val="24"/>
          <w:szCs w:val="24"/>
        </w:rPr>
      </w:pPr>
    </w:p>
    <w:p w:rsidR="00344A4D" w:rsidRPr="00673EDB" w:rsidRDefault="00344A4D" w:rsidP="00344A4D">
      <w:pPr>
        <w:spacing w:after="0" w:line="360" w:lineRule="auto"/>
        <w:rPr>
          <w:rFonts w:cstheme="minorHAnsi"/>
          <w:color w:val="000000"/>
          <w:sz w:val="24"/>
          <w:szCs w:val="24"/>
        </w:rPr>
      </w:pPr>
      <w:r w:rsidRPr="00673EDB">
        <w:rPr>
          <w:rFonts w:cstheme="minorHAnsi"/>
          <w:b/>
          <w:color w:val="000000"/>
          <w:sz w:val="24"/>
          <w:szCs w:val="24"/>
        </w:rPr>
        <w:t>Discount</w:t>
      </w:r>
      <w:r w:rsidRPr="00673EDB">
        <w:rPr>
          <w:rFonts w:cstheme="minorHAnsi"/>
          <w:color w:val="000000"/>
          <w:sz w:val="24"/>
          <w:szCs w:val="24"/>
        </w:rPr>
        <w:t>: is the amount of RSD per liter to subtract to the Supplier Wholesale Price List.</w:t>
      </w:r>
    </w:p>
    <w:p w:rsidR="00344A4D" w:rsidRPr="00673EDB" w:rsidRDefault="00344A4D" w:rsidP="00344A4D">
      <w:pPr>
        <w:autoSpaceDE w:val="0"/>
        <w:autoSpaceDN w:val="0"/>
        <w:adjustRightInd w:val="0"/>
        <w:spacing w:after="0" w:line="360" w:lineRule="auto"/>
        <w:jc w:val="both"/>
        <w:rPr>
          <w:rFonts w:cstheme="minorHAnsi"/>
          <w:color w:val="000000"/>
          <w:sz w:val="24"/>
          <w:szCs w:val="24"/>
        </w:rPr>
      </w:pPr>
    </w:p>
    <w:p w:rsidR="00344A4D" w:rsidRDefault="00344A4D" w:rsidP="00344A4D">
      <w:pPr>
        <w:autoSpaceDE w:val="0"/>
        <w:autoSpaceDN w:val="0"/>
        <w:adjustRightInd w:val="0"/>
        <w:spacing w:after="0" w:line="360" w:lineRule="auto"/>
        <w:jc w:val="both"/>
        <w:rPr>
          <w:rFonts w:cstheme="minorHAnsi"/>
          <w:color w:val="000000"/>
          <w:sz w:val="24"/>
          <w:szCs w:val="24"/>
        </w:rPr>
      </w:pPr>
      <w:r w:rsidRPr="00673EDB">
        <w:rPr>
          <w:rFonts w:cstheme="minorHAnsi"/>
          <w:color w:val="000000"/>
          <w:sz w:val="24"/>
          <w:szCs w:val="24"/>
        </w:rPr>
        <w:lastRenderedPageBreak/>
        <w:t xml:space="preserve">Potential suppliers are required to prepare their offer as defined in </w:t>
      </w:r>
      <w:r w:rsidRPr="00673EDB">
        <w:rPr>
          <w:rFonts w:cstheme="minorHAnsi"/>
          <w:b/>
          <w:color w:val="000000"/>
          <w:sz w:val="24"/>
          <w:szCs w:val="24"/>
        </w:rPr>
        <w:t>Appendix 1 – “Specification and Pricing Module”</w:t>
      </w:r>
      <w:r w:rsidRPr="00673EDB">
        <w:rPr>
          <w:rFonts w:cstheme="minorHAnsi"/>
          <w:color w:val="000000"/>
          <w:sz w:val="24"/>
          <w:szCs w:val="24"/>
        </w:rPr>
        <w:t xml:space="preserve">.  In this module, potential suppliers will identify the Platts index used and they shall make their proposal for the </w:t>
      </w:r>
      <w:r w:rsidRPr="00673EDB">
        <w:rPr>
          <w:rFonts w:cstheme="minorHAnsi"/>
          <w:b/>
          <w:color w:val="000000"/>
          <w:sz w:val="24"/>
          <w:szCs w:val="24"/>
        </w:rPr>
        <w:t>Spread</w:t>
      </w:r>
      <w:r w:rsidRPr="00673EDB">
        <w:rPr>
          <w:rFonts w:cstheme="minorHAnsi"/>
          <w:color w:val="000000"/>
          <w:sz w:val="24"/>
          <w:szCs w:val="24"/>
        </w:rPr>
        <w:t xml:space="preserve"> price component in RSD per liter.</w:t>
      </w:r>
    </w:p>
    <w:p w:rsidR="00A57E16" w:rsidRDefault="00A57E16" w:rsidP="00344A4D">
      <w:pPr>
        <w:autoSpaceDE w:val="0"/>
        <w:autoSpaceDN w:val="0"/>
        <w:adjustRightInd w:val="0"/>
        <w:spacing w:after="0" w:line="360" w:lineRule="auto"/>
        <w:jc w:val="both"/>
        <w:rPr>
          <w:rFonts w:cstheme="minorHAnsi"/>
          <w:color w:val="000000"/>
          <w:sz w:val="24"/>
          <w:szCs w:val="24"/>
        </w:rPr>
      </w:pPr>
    </w:p>
    <w:p w:rsidR="00A57E16" w:rsidRPr="00673EDB" w:rsidRDefault="00A57E16" w:rsidP="00344A4D">
      <w:pPr>
        <w:autoSpaceDE w:val="0"/>
        <w:autoSpaceDN w:val="0"/>
        <w:adjustRightInd w:val="0"/>
        <w:spacing w:after="0" w:line="360" w:lineRule="auto"/>
        <w:jc w:val="both"/>
        <w:rPr>
          <w:rFonts w:cstheme="minorHAnsi"/>
          <w:color w:val="000000"/>
          <w:sz w:val="24"/>
          <w:szCs w:val="24"/>
        </w:rPr>
      </w:pPr>
    </w:p>
    <w:bookmarkEnd w:id="2"/>
    <w:p w:rsidR="00344A4D" w:rsidRPr="00673EDB" w:rsidRDefault="00344A4D" w:rsidP="00344A4D">
      <w:pPr>
        <w:autoSpaceDE w:val="0"/>
        <w:autoSpaceDN w:val="0"/>
        <w:adjustRightInd w:val="0"/>
        <w:spacing w:after="0" w:line="360" w:lineRule="auto"/>
        <w:jc w:val="both"/>
        <w:rPr>
          <w:rFonts w:cstheme="minorHAnsi"/>
          <w:b/>
          <w:sz w:val="24"/>
          <w:szCs w:val="24"/>
        </w:rPr>
      </w:pP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Tender Process Schedule</w:t>
      </w:r>
    </w:p>
    <w:p w:rsidR="00344A4D" w:rsidRPr="00673EDB" w:rsidRDefault="00344A4D" w:rsidP="00344A4D">
      <w:pPr>
        <w:rPr>
          <w:rFonts w:cstheme="minorHAnsi"/>
          <w:sz w:val="24"/>
        </w:rPr>
      </w:pPr>
      <w:r w:rsidRPr="00673EDB">
        <w:rPr>
          <w:rFonts w:cstheme="minorHAnsi"/>
          <w:sz w:val="24"/>
        </w:rPr>
        <w:t>The tender process schedule is planned as follows:</w:t>
      </w:r>
    </w:p>
    <w:p w:rsidR="00344A4D" w:rsidRPr="00673EDB" w:rsidRDefault="00344A4D" w:rsidP="00344A4D">
      <w:pPr>
        <w:rPr>
          <w:rFonts w:cstheme="minorHAnsi"/>
          <w:sz w:val="24"/>
        </w:rPr>
      </w:pPr>
    </w:p>
    <w:tbl>
      <w:tblPr>
        <w:tblStyle w:val="TableGrid"/>
        <w:tblW w:w="0" w:type="auto"/>
        <w:tblLook w:val="04A0" w:firstRow="1" w:lastRow="0" w:firstColumn="1" w:lastColumn="0" w:noHBand="0" w:noVBand="1"/>
      </w:tblPr>
      <w:tblGrid>
        <w:gridCol w:w="4695"/>
        <w:gridCol w:w="4682"/>
      </w:tblGrid>
      <w:tr w:rsidR="00344A4D" w:rsidRPr="00673EDB" w:rsidTr="00415333">
        <w:tc>
          <w:tcPr>
            <w:tcW w:w="4817" w:type="dxa"/>
          </w:tcPr>
          <w:p w:rsidR="00344A4D" w:rsidRPr="00673EDB" w:rsidRDefault="00344A4D" w:rsidP="00415333">
            <w:pPr>
              <w:rPr>
                <w:rFonts w:cstheme="minorHAnsi"/>
                <w:b/>
                <w:sz w:val="24"/>
                <w:lang w:val="en-US"/>
              </w:rPr>
            </w:pPr>
            <w:r w:rsidRPr="00673EDB">
              <w:rPr>
                <w:rFonts w:cstheme="minorHAnsi"/>
                <w:b/>
                <w:sz w:val="24"/>
                <w:lang w:val="en-US"/>
              </w:rPr>
              <w:t>Key Milestones</w:t>
            </w:r>
          </w:p>
          <w:p w:rsidR="00344A4D" w:rsidRPr="00673EDB" w:rsidRDefault="00344A4D" w:rsidP="00415333">
            <w:pPr>
              <w:rPr>
                <w:rFonts w:cstheme="minorHAnsi"/>
                <w:b/>
                <w:sz w:val="24"/>
                <w:lang w:val="en-US"/>
              </w:rPr>
            </w:pPr>
          </w:p>
        </w:tc>
        <w:tc>
          <w:tcPr>
            <w:tcW w:w="4811" w:type="dxa"/>
          </w:tcPr>
          <w:p w:rsidR="00344A4D" w:rsidRPr="00673EDB" w:rsidRDefault="00344A4D" w:rsidP="00415333">
            <w:pPr>
              <w:rPr>
                <w:rFonts w:cstheme="minorHAnsi"/>
                <w:b/>
                <w:sz w:val="24"/>
                <w:lang w:val="en-US"/>
              </w:rPr>
            </w:pPr>
            <w:r w:rsidRPr="00673EDB">
              <w:rPr>
                <w:rFonts w:cstheme="minorHAnsi"/>
                <w:b/>
                <w:sz w:val="24"/>
                <w:lang w:val="en-US"/>
              </w:rPr>
              <w:t>Dates</w:t>
            </w:r>
          </w:p>
        </w:tc>
      </w:tr>
      <w:tr w:rsidR="00344A4D" w:rsidRPr="00673EDB" w:rsidTr="00415333">
        <w:tc>
          <w:tcPr>
            <w:tcW w:w="4817" w:type="dxa"/>
          </w:tcPr>
          <w:p w:rsidR="00344A4D" w:rsidRPr="00673EDB" w:rsidRDefault="00344A4D" w:rsidP="00415333">
            <w:pPr>
              <w:spacing w:line="360" w:lineRule="auto"/>
              <w:rPr>
                <w:rFonts w:cstheme="minorHAnsi"/>
                <w:sz w:val="24"/>
                <w:lang w:val="en-US"/>
              </w:rPr>
            </w:pPr>
            <w:r w:rsidRPr="00673EDB">
              <w:rPr>
                <w:rFonts w:cstheme="minorHAnsi"/>
                <w:sz w:val="24"/>
                <w:lang w:val="en-US"/>
              </w:rPr>
              <w:t>Tender publication</w:t>
            </w:r>
            <w:r w:rsidRPr="00673EDB">
              <w:rPr>
                <w:rFonts w:cstheme="minorHAnsi"/>
                <w:sz w:val="24"/>
                <w:lang w:val="en-US"/>
              </w:rPr>
              <w:tab/>
            </w:r>
          </w:p>
        </w:tc>
        <w:tc>
          <w:tcPr>
            <w:tcW w:w="4811" w:type="dxa"/>
          </w:tcPr>
          <w:p w:rsidR="00344A4D" w:rsidRPr="00673EDB" w:rsidRDefault="00344A4D" w:rsidP="00415333">
            <w:pPr>
              <w:spacing w:line="360" w:lineRule="auto"/>
              <w:jc w:val="center"/>
              <w:rPr>
                <w:rFonts w:cstheme="minorHAnsi"/>
                <w:sz w:val="24"/>
                <w:lang w:val="en-US"/>
              </w:rPr>
            </w:pPr>
            <w:r w:rsidRPr="00673EDB">
              <w:rPr>
                <w:rFonts w:cstheme="minorHAnsi"/>
                <w:sz w:val="24"/>
                <w:lang w:val="en-US"/>
              </w:rPr>
              <w:t>1</w:t>
            </w:r>
            <w:r w:rsidR="002E3B78">
              <w:rPr>
                <w:rFonts w:cstheme="minorHAnsi"/>
                <w:sz w:val="24"/>
                <w:lang w:val="en-US"/>
              </w:rPr>
              <w:t>2</w:t>
            </w:r>
            <w:r w:rsidRPr="00673EDB">
              <w:rPr>
                <w:rFonts w:cstheme="minorHAnsi"/>
                <w:sz w:val="24"/>
                <w:lang w:val="en-US"/>
              </w:rPr>
              <w:t>.03.2019</w:t>
            </w:r>
          </w:p>
        </w:tc>
      </w:tr>
      <w:tr w:rsidR="00344A4D" w:rsidRPr="00673EDB" w:rsidTr="00415333">
        <w:tc>
          <w:tcPr>
            <w:tcW w:w="4817" w:type="dxa"/>
          </w:tcPr>
          <w:p w:rsidR="00344A4D" w:rsidRPr="00673EDB" w:rsidRDefault="00344A4D" w:rsidP="00415333">
            <w:pPr>
              <w:pStyle w:val="BodyTextIndent"/>
              <w:spacing w:after="0" w:line="360" w:lineRule="auto"/>
              <w:ind w:left="0"/>
              <w:rPr>
                <w:rFonts w:asciiTheme="minorHAnsi" w:hAnsiTheme="minorHAnsi" w:cstheme="minorHAnsi"/>
                <w:b/>
                <w:sz w:val="24"/>
                <w:lang w:val="en-US"/>
              </w:rPr>
            </w:pPr>
            <w:r w:rsidRPr="00673EDB">
              <w:rPr>
                <w:rFonts w:asciiTheme="minorHAnsi" w:hAnsiTheme="minorHAnsi" w:cstheme="minorHAnsi"/>
                <w:b/>
                <w:sz w:val="24"/>
                <w:lang w:val="en-US"/>
              </w:rPr>
              <w:t>Tender Submission Deadline</w:t>
            </w:r>
          </w:p>
        </w:tc>
        <w:tc>
          <w:tcPr>
            <w:tcW w:w="4811" w:type="dxa"/>
          </w:tcPr>
          <w:p w:rsidR="00344A4D" w:rsidRPr="00673EDB" w:rsidRDefault="002E3B78" w:rsidP="00415333">
            <w:pPr>
              <w:spacing w:line="360" w:lineRule="auto"/>
              <w:jc w:val="center"/>
              <w:rPr>
                <w:rFonts w:cstheme="minorHAnsi"/>
                <w:b/>
                <w:sz w:val="24"/>
                <w:lang w:val="en-US"/>
              </w:rPr>
            </w:pPr>
            <w:r>
              <w:rPr>
                <w:rFonts w:cstheme="minorHAnsi"/>
                <w:b/>
                <w:sz w:val="24"/>
                <w:lang w:val="en-US"/>
              </w:rPr>
              <w:t>01.04</w:t>
            </w:r>
            <w:r w:rsidR="00344A4D" w:rsidRPr="00673EDB">
              <w:rPr>
                <w:rFonts w:cstheme="minorHAnsi"/>
                <w:b/>
                <w:sz w:val="24"/>
                <w:lang w:val="en-US"/>
              </w:rPr>
              <w:t>.2019</w:t>
            </w:r>
          </w:p>
        </w:tc>
      </w:tr>
      <w:tr w:rsidR="00344A4D" w:rsidRPr="00673EDB" w:rsidTr="00415333">
        <w:tc>
          <w:tcPr>
            <w:tcW w:w="4817" w:type="dxa"/>
          </w:tcPr>
          <w:p w:rsidR="00344A4D" w:rsidRPr="00673EDB" w:rsidRDefault="00344A4D" w:rsidP="00415333">
            <w:pPr>
              <w:pStyle w:val="BodyTextIndent"/>
              <w:spacing w:after="0" w:line="360" w:lineRule="auto"/>
              <w:ind w:left="0"/>
              <w:rPr>
                <w:rFonts w:asciiTheme="minorHAnsi" w:hAnsiTheme="minorHAnsi" w:cstheme="minorHAnsi"/>
                <w:sz w:val="24"/>
                <w:lang w:val="en-US"/>
              </w:rPr>
            </w:pPr>
            <w:r w:rsidRPr="00673EDB">
              <w:rPr>
                <w:rFonts w:asciiTheme="minorHAnsi" w:hAnsiTheme="minorHAnsi" w:cstheme="minorHAnsi"/>
                <w:sz w:val="24"/>
                <w:lang w:val="en-US"/>
              </w:rPr>
              <w:t xml:space="preserve">Evaluation and Tender Short List </w:t>
            </w:r>
          </w:p>
        </w:tc>
        <w:tc>
          <w:tcPr>
            <w:tcW w:w="4811" w:type="dxa"/>
          </w:tcPr>
          <w:p w:rsidR="00344A4D" w:rsidRPr="00673EDB" w:rsidRDefault="002E3B78" w:rsidP="00415333">
            <w:pPr>
              <w:spacing w:line="360" w:lineRule="auto"/>
              <w:jc w:val="center"/>
              <w:rPr>
                <w:rFonts w:cstheme="minorHAnsi"/>
                <w:sz w:val="24"/>
                <w:lang w:val="en-US"/>
              </w:rPr>
            </w:pPr>
            <w:r>
              <w:rPr>
                <w:rFonts w:cstheme="minorHAnsi"/>
                <w:sz w:val="24"/>
                <w:lang w:val="en-US"/>
              </w:rPr>
              <w:t>05</w:t>
            </w:r>
            <w:r w:rsidR="00344A4D" w:rsidRPr="00673EDB">
              <w:rPr>
                <w:rFonts w:cstheme="minorHAnsi"/>
                <w:sz w:val="24"/>
                <w:lang w:val="en-US"/>
              </w:rPr>
              <w:t>.04.2019</w:t>
            </w:r>
          </w:p>
        </w:tc>
      </w:tr>
      <w:tr w:rsidR="00344A4D" w:rsidRPr="00673EDB" w:rsidTr="00415333">
        <w:tc>
          <w:tcPr>
            <w:tcW w:w="4817" w:type="dxa"/>
          </w:tcPr>
          <w:p w:rsidR="00344A4D" w:rsidRPr="00673EDB" w:rsidRDefault="00344A4D" w:rsidP="00415333">
            <w:pPr>
              <w:pStyle w:val="BodyTextIndent"/>
              <w:spacing w:after="0" w:line="360" w:lineRule="auto"/>
              <w:ind w:left="0"/>
              <w:rPr>
                <w:rFonts w:asciiTheme="minorHAnsi" w:hAnsiTheme="minorHAnsi" w:cstheme="minorHAnsi"/>
                <w:b/>
                <w:sz w:val="24"/>
                <w:lang w:val="en-US"/>
              </w:rPr>
            </w:pPr>
            <w:r w:rsidRPr="00673EDB">
              <w:rPr>
                <w:rFonts w:asciiTheme="minorHAnsi" w:hAnsiTheme="minorHAnsi" w:cstheme="minorHAnsi"/>
                <w:b/>
                <w:sz w:val="24"/>
                <w:lang w:val="en-US"/>
              </w:rPr>
              <w:t>Final Round of Negotiations</w:t>
            </w:r>
          </w:p>
        </w:tc>
        <w:tc>
          <w:tcPr>
            <w:tcW w:w="4811" w:type="dxa"/>
          </w:tcPr>
          <w:p w:rsidR="00344A4D" w:rsidRPr="00673EDB" w:rsidRDefault="00FE7F87" w:rsidP="00415333">
            <w:pPr>
              <w:spacing w:line="360" w:lineRule="auto"/>
              <w:jc w:val="center"/>
              <w:rPr>
                <w:rFonts w:cstheme="minorHAnsi"/>
                <w:b/>
                <w:sz w:val="24"/>
                <w:lang w:val="en-US"/>
              </w:rPr>
            </w:pPr>
            <w:r>
              <w:rPr>
                <w:rFonts w:cstheme="minorHAnsi"/>
                <w:b/>
                <w:sz w:val="24"/>
                <w:lang w:val="en-US"/>
              </w:rPr>
              <w:t>10</w:t>
            </w:r>
            <w:r w:rsidR="00344A4D" w:rsidRPr="00673EDB">
              <w:rPr>
                <w:rFonts w:cstheme="minorHAnsi"/>
                <w:b/>
                <w:sz w:val="24"/>
                <w:lang w:val="en-US"/>
              </w:rPr>
              <w:t>.04.2019</w:t>
            </w:r>
          </w:p>
        </w:tc>
      </w:tr>
      <w:tr w:rsidR="00344A4D" w:rsidRPr="00673EDB" w:rsidTr="00415333">
        <w:tc>
          <w:tcPr>
            <w:tcW w:w="4817" w:type="dxa"/>
          </w:tcPr>
          <w:p w:rsidR="00344A4D" w:rsidRPr="00673EDB" w:rsidRDefault="00344A4D" w:rsidP="00415333">
            <w:pPr>
              <w:pStyle w:val="BodyTextIndent"/>
              <w:spacing w:after="0" w:line="360" w:lineRule="auto"/>
              <w:ind w:left="0"/>
              <w:rPr>
                <w:rFonts w:asciiTheme="minorHAnsi" w:hAnsiTheme="minorHAnsi" w:cstheme="minorHAnsi"/>
                <w:sz w:val="24"/>
                <w:lang w:val="en-US"/>
              </w:rPr>
            </w:pPr>
            <w:r w:rsidRPr="00673EDB">
              <w:rPr>
                <w:rFonts w:asciiTheme="minorHAnsi" w:hAnsiTheme="minorHAnsi" w:cstheme="minorHAnsi"/>
                <w:sz w:val="24"/>
                <w:lang w:val="en-US"/>
              </w:rPr>
              <w:t>Contract Award</w:t>
            </w:r>
          </w:p>
        </w:tc>
        <w:tc>
          <w:tcPr>
            <w:tcW w:w="4811" w:type="dxa"/>
          </w:tcPr>
          <w:p w:rsidR="00344A4D" w:rsidRPr="00673EDB" w:rsidRDefault="00344A4D" w:rsidP="00415333">
            <w:pPr>
              <w:spacing w:line="360" w:lineRule="auto"/>
              <w:jc w:val="center"/>
              <w:rPr>
                <w:rFonts w:cstheme="minorHAnsi"/>
                <w:sz w:val="24"/>
                <w:lang w:val="en-US"/>
              </w:rPr>
            </w:pPr>
            <w:r w:rsidRPr="00673EDB">
              <w:rPr>
                <w:rFonts w:cstheme="minorHAnsi"/>
                <w:sz w:val="24"/>
                <w:lang w:val="en-US"/>
              </w:rPr>
              <w:t>1</w:t>
            </w:r>
            <w:r w:rsidR="00FE7F87">
              <w:rPr>
                <w:rFonts w:cstheme="minorHAnsi"/>
                <w:sz w:val="24"/>
                <w:lang w:val="en-US"/>
              </w:rPr>
              <w:t>3</w:t>
            </w:r>
            <w:bookmarkStart w:id="3" w:name="_GoBack"/>
            <w:bookmarkEnd w:id="3"/>
            <w:r w:rsidRPr="00673EDB">
              <w:rPr>
                <w:rFonts w:cstheme="minorHAnsi"/>
                <w:sz w:val="24"/>
                <w:lang w:val="en-US"/>
              </w:rPr>
              <w:t>.04.2019</w:t>
            </w:r>
          </w:p>
        </w:tc>
      </w:tr>
      <w:tr w:rsidR="00344A4D" w:rsidRPr="00673EDB" w:rsidTr="00415333">
        <w:tc>
          <w:tcPr>
            <w:tcW w:w="4817" w:type="dxa"/>
          </w:tcPr>
          <w:p w:rsidR="00344A4D" w:rsidRPr="00673EDB" w:rsidRDefault="00344A4D" w:rsidP="00415333">
            <w:pPr>
              <w:pStyle w:val="BodyTextIndent"/>
              <w:spacing w:after="0" w:line="360" w:lineRule="auto"/>
              <w:ind w:left="0"/>
              <w:rPr>
                <w:rFonts w:asciiTheme="minorHAnsi" w:hAnsiTheme="minorHAnsi" w:cstheme="minorHAnsi"/>
                <w:b/>
                <w:sz w:val="24"/>
                <w:lang w:val="en-US"/>
              </w:rPr>
            </w:pPr>
            <w:r w:rsidRPr="00673EDB">
              <w:rPr>
                <w:rFonts w:asciiTheme="minorHAnsi" w:hAnsiTheme="minorHAnsi" w:cstheme="minorHAnsi"/>
                <w:b/>
                <w:sz w:val="24"/>
                <w:lang w:val="en-US"/>
              </w:rPr>
              <w:t>Contract Start</w:t>
            </w:r>
          </w:p>
        </w:tc>
        <w:tc>
          <w:tcPr>
            <w:tcW w:w="4811" w:type="dxa"/>
          </w:tcPr>
          <w:p w:rsidR="00344A4D" w:rsidRPr="00673EDB" w:rsidRDefault="00344A4D" w:rsidP="00415333">
            <w:pPr>
              <w:spacing w:line="360" w:lineRule="auto"/>
              <w:jc w:val="center"/>
              <w:rPr>
                <w:rFonts w:cstheme="minorHAnsi"/>
                <w:b/>
                <w:sz w:val="24"/>
                <w:lang w:val="en-US"/>
              </w:rPr>
            </w:pPr>
            <w:r w:rsidRPr="00673EDB">
              <w:rPr>
                <w:rFonts w:cstheme="minorHAnsi"/>
                <w:b/>
                <w:sz w:val="24"/>
                <w:lang w:val="en-US"/>
              </w:rPr>
              <w:t>01.05.2019</w:t>
            </w:r>
          </w:p>
        </w:tc>
      </w:tr>
    </w:tbl>
    <w:p w:rsidR="00344A4D" w:rsidRDefault="00344A4D"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Default="00A57E16" w:rsidP="00344A4D">
      <w:pPr>
        <w:autoSpaceDE w:val="0"/>
        <w:autoSpaceDN w:val="0"/>
        <w:adjustRightInd w:val="0"/>
        <w:spacing w:after="0" w:line="360" w:lineRule="auto"/>
        <w:jc w:val="both"/>
        <w:rPr>
          <w:rFonts w:cstheme="minorHAnsi"/>
          <w:b/>
          <w:sz w:val="32"/>
          <w:szCs w:val="30"/>
        </w:rPr>
      </w:pPr>
    </w:p>
    <w:p w:rsidR="00A57E16" w:rsidRPr="00673EDB" w:rsidRDefault="00A57E16" w:rsidP="00344A4D">
      <w:pPr>
        <w:autoSpaceDE w:val="0"/>
        <w:autoSpaceDN w:val="0"/>
        <w:adjustRightInd w:val="0"/>
        <w:spacing w:after="0" w:line="360" w:lineRule="auto"/>
        <w:jc w:val="both"/>
        <w:rPr>
          <w:rFonts w:cstheme="minorHAnsi"/>
          <w:b/>
          <w:sz w:val="32"/>
          <w:szCs w:val="30"/>
        </w:rPr>
      </w:pPr>
    </w:p>
    <w:p w:rsidR="00344A4D" w:rsidRPr="00673EDB" w:rsidRDefault="00344A4D" w:rsidP="00344A4D">
      <w:pPr>
        <w:pStyle w:val="ListParagraph"/>
        <w:numPr>
          <w:ilvl w:val="0"/>
          <w:numId w:val="2"/>
        </w:numPr>
        <w:autoSpaceDE w:val="0"/>
        <w:autoSpaceDN w:val="0"/>
        <w:adjustRightInd w:val="0"/>
        <w:spacing w:after="0" w:line="360" w:lineRule="auto"/>
        <w:jc w:val="both"/>
        <w:rPr>
          <w:rFonts w:asciiTheme="minorHAnsi" w:hAnsiTheme="minorHAnsi" w:cstheme="minorHAnsi"/>
          <w:b/>
          <w:sz w:val="32"/>
          <w:szCs w:val="30"/>
          <w:lang w:val="en-US"/>
        </w:rPr>
      </w:pPr>
      <w:r w:rsidRPr="00673EDB">
        <w:rPr>
          <w:rFonts w:asciiTheme="minorHAnsi" w:hAnsiTheme="minorHAnsi" w:cstheme="minorHAnsi"/>
          <w:b/>
          <w:sz w:val="32"/>
          <w:szCs w:val="30"/>
          <w:lang w:val="en-US"/>
        </w:rPr>
        <w:t>Future Correspondence/ Point of Contact</w:t>
      </w:r>
    </w:p>
    <w:p w:rsidR="00344A4D" w:rsidRPr="00673EDB" w:rsidRDefault="00344A4D" w:rsidP="00344A4D">
      <w:pPr>
        <w:pStyle w:val="BodyTextIndent"/>
        <w:spacing w:after="0" w:line="360" w:lineRule="auto"/>
        <w:ind w:left="0"/>
        <w:jc w:val="both"/>
        <w:rPr>
          <w:rFonts w:asciiTheme="minorHAnsi" w:hAnsiTheme="minorHAnsi" w:cstheme="minorHAnsi"/>
          <w:sz w:val="24"/>
          <w:lang w:val="en-US"/>
        </w:rPr>
      </w:pPr>
      <w:r w:rsidRPr="00673EDB">
        <w:rPr>
          <w:rFonts w:asciiTheme="minorHAnsi" w:hAnsiTheme="minorHAnsi" w:cstheme="minorHAnsi"/>
          <w:sz w:val="24"/>
          <w:lang w:val="en-US"/>
        </w:rPr>
        <w:t>The Arriva Serbia Point of Contact is the authorized person to communicate with tenderers.  Any communication with the Contact Person should be in writing (preferably via e-mail) and addressed to the Arriva Serbia Contact Person with the Principle Category Manager Fuel and Utilities in cc.</w:t>
      </w:r>
    </w:p>
    <w:p w:rsidR="00344A4D" w:rsidRPr="00673EDB" w:rsidRDefault="00344A4D" w:rsidP="00344A4D">
      <w:pPr>
        <w:ind w:firstLine="283"/>
        <w:jc w:val="both"/>
        <w:rPr>
          <w:rFonts w:cstheme="minorHAnsi"/>
          <w:sz w:val="24"/>
        </w:rPr>
      </w:pPr>
    </w:p>
    <w:p w:rsidR="00344A4D" w:rsidRPr="00673EDB" w:rsidRDefault="00344A4D" w:rsidP="00344A4D">
      <w:pPr>
        <w:spacing w:after="0" w:line="240" w:lineRule="auto"/>
        <w:rPr>
          <w:rFonts w:cstheme="minorHAnsi"/>
          <w:b/>
          <w:sz w:val="24"/>
        </w:rPr>
      </w:pPr>
      <w:r w:rsidRPr="00673EDB">
        <w:rPr>
          <w:rFonts w:cstheme="minorHAnsi"/>
          <w:b/>
          <w:sz w:val="24"/>
        </w:rPr>
        <w:t>Arriva Serbia Point of Contact</w:t>
      </w:r>
    </w:p>
    <w:p w:rsidR="00344A4D" w:rsidRPr="00673EDB" w:rsidRDefault="00344A4D" w:rsidP="00344A4D">
      <w:pPr>
        <w:spacing w:after="0" w:line="240" w:lineRule="auto"/>
        <w:rPr>
          <w:rFonts w:cstheme="minorHAnsi"/>
          <w:b/>
          <w:bCs/>
          <w:sz w:val="24"/>
          <w:lang w:val="sr-Latn-RS"/>
        </w:rPr>
      </w:pPr>
    </w:p>
    <w:p w:rsidR="00344A4D" w:rsidRPr="00673EDB" w:rsidRDefault="00344A4D" w:rsidP="00344A4D">
      <w:pPr>
        <w:spacing w:after="0" w:line="240" w:lineRule="auto"/>
        <w:rPr>
          <w:rFonts w:cstheme="minorHAnsi"/>
          <w:b/>
          <w:bCs/>
          <w:sz w:val="24"/>
          <w:lang w:val="sr-Latn-RS"/>
        </w:rPr>
      </w:pPr>
      <w:r w:rsidRPr="00673EDB">
        <w:rPr>
          <w:rFonts w:cstheme="minorHAnsi"/>
          <w:b/>
          <w:bCs/>
          <w:sz w:val="24"/>
          <w:lang w:val="sr-Latn-RS"/>
        </w:rPr>
        <w:t>Vladimir Šarac</w:t>
      </w:r>
    </w:p>
    <w:p w:rsidR="00344A4D" w:rsidRPr="00673EDB" w:rsidRDefault="00344A4D" w:rsidP="00344A4D">
      <w:pPr>
        <w:spacing w:after="0" w:line="240" w:lineRule="auto"/>
        <w:rPr>
          <w:rFonts w:cstheme="minorHAnsi"/>
          <w:sz w:val="24"/>
          <w:lang w:val="sr-Latn-RS"/>
        </w:rPr>
      </w:pPr>
      <w:r w:rsidRPr="00673EDB">
        <w:rPr>
          <w:rFonts w:cstheme="minorHAnsi"/>
          <w:sz w:val="24"/>
          <w:lang w:val="sr-Latn-RS"/>
        </w:rPr>
        <w:t>Direktor za nabavke / Procurement manager</w:t>
      </w:r>
    </w:p>
    <w:p w:rsidR="00344A4D" w:rsidRPr="00673EDB" w:rsidRDefault="00344A4D" w:rsidP="00344A4D">
      <w:pPr>
        <w:spacing w:after="0" w:line="240" w:lineRule="auto"/>
        <w:rPr>
          <w:rFonts w:cstheme="minorHAnsi"/>
          <w:b/>
          <w:bCs/>
          <w:sz w:val="24"/>
          <w:lang w:val="sr-Latn-RS"/>
        </w:rPr>
      </w:pPr>
      <w:r w:rsidRPr="00673EDB">
        <w:rPr>
          <w:rFonts w:cstheme="minorHAnsi"/>
          <w:b/>
          <w:bCs/>
          <w:sz w:val="24"/>
          <w:lang w:val="sr-Latn-RS"/>
        </w:rPr>
        <w:t xml:space="preserve">Arriva Litas | T: </w:t>
      </w:r>
      <w:r w:rsidRPr="00673EDB">
        <w:rPr>
          <w:rFonts w:cstheme="minorHAnsi"/>
          <w:sz w:val="24"/>
          <w:lang w:val="sr-Latn-RS"/>
        </w:rPr>
        <w:t xml:space="preserve">381 (0)12 538 418 </w:t>
      </w:r>
      <w:r w:rsidRPr="00673EDB">
        <w:rPr>
          <w:rFonts w:cstheme="minorHAnsi"/>
          <w:b/>
          <w:bCs/>
          <w:sz w:val="24"/>
          <w:lang w:val="sr-Latn-RS"/>
        </w:rPr>
        <w:t xml:space="preserve">| M: </w:t>
      </w:r>
      <w:r w:rsidRPr="00673EDB">
        <w:rPr>
          <w:rFonts w:cstheme="minorHAnsi"/>
          <w:sz w:val="24"/>
          <w:lang w:val="sr-Latn-RS"/>
        </w:rPr>
        <w:t xml:space="preserve"> +381 (0)62 88 00 404  </w:t>
      </w:r>
      <w:r w:rsidRPr="00673EDB">
        <w:rPr>
          <w:rFonts w:cstheme="minorHAnsi"/>
          <w:b/>
          <w:bCs/>
          <w:sz w:val="24"/>
          <w:lang w:val="sr-Latn-RS"/>
        </w:rPr>
        <w:t xml:space="preserve">| E: </w:t>
      </w:r>
      <w:hyperlink r:id="rId9" w:history="1">
        <w:r w:rsidRPr="00673EDB">
          <w:rPr>
            <w:rStyle w:val="Hyperlink"/>
            <w:rFonts w:cstheme="minorHAnsi"/>
            <w:sz w:val="24"/>
            <w:lang w:val="sr-Latn-RS"/>
          </w:rPr>
          <w:t>vladimir.sarac@arriva.rs</w:t>
        </w:r>
      </w:hyperlink>
    </w:p>
    <w:p w:rsidR="00344A4D" w:rsidRPr="00673EDB" w:rsidRDefault="00344A4D" w:rsidP="00344A4D">
      <w:pPr>
        <w:spacing w:after="0" w:line="240" w:lineRule="auto"/>
        <w:rPr>
          <w:rFonts w:cstheme="minorHAnsi"/>
          <w:sz w:val="24"/>
          <w:lang w:val="sr-Latn-RS"/>
        </w:rPr>
      </w:pPr>
      <w:r w:rsidRPr="00673EDB">
        <w:rPr>
          <w:rFonts w:cstheme="minorHAnsi"/>
          <w:sz w:val="24"/>
          <w:lang w:val="sr-Latn-RS"/>
        </w:rPr>
        <w:t xml:space="preserve">Arriva Litas | Moše Pijade 9, 12000 Požarevac, Srbija | </w:t>
      </w:r>
      <w:hyperlink r:id="rId10" w:history="1">
        <w:r w:rsidRPr="00673EDB">
          <w:rPr>
            <w:rStyle w:val="Hyperlink"/>
            <w:rFonts w:cstheme="minorHAnsi"/>
            <w:sz w:val="24"/>
            <w:lang w:val="sr-Latn-RS"/>
          </w:rPr>
          <w:t>www.arriva.rs</w:t>
        </w:r>
      </w:hyperlink>
      <w:r w:rsidRPr="00673EDB">
        <w:rPr>
          <w:rFonts w:cstheme="minorHAnsi"/>
          <w:sz w:val="24"/>
          <w:lang w:val="sr-Latn-RS"/>
        </w:rPr>
        <w:t xml:space="preserve"> </w:t>
      </w:r>
    </w:p>
    <w:p w:rsidR="00344A4D" w:rsidRPr="00673EDB" w:rsidRDefault="00344A4D" w:rsidP="00344A4D">
      <w:pPr>
        <w:spacing w:after="0" w:line="240" w:lineRule="auto"/>
        <w:rPr>
          <w:rFonts w:cstheme="minorHAnsi"/>
          <w:sz w:val="24"/>
          <w:lang w:val="sr-Latn-RS"/>
        </w:rPr>
      </w:pPr>
      <w:r w:rsidRPr="00673EDB">
        <w:rPr>
          <w:rFonts w:cstheme="minorHAnsi"/>
          <w:sz w:val="24"/>
          <w:lang w:val="sr-Latn-RS"/>
        </w:rPr>
        <w:t>Lokacija Beograd: Bul. Milutina Milankovića 23/1/II, 11070 Beograd, Srbija</w:t>
      </w:r>
    </w:p>
    <w:p w:rsidR="00344A4D" w:rsidRPr="00E16038" w:rsidRDefault="00344A4D" w:rsidP="00344A4D">
      <w:pPr>
        <w:spacing w:after="0" w:line="240" w:lineRule="auto"/>
        <w:rPr>
          <w:rFonts w:ascii="Arial" w:hAnsi="Arial" w:cs="Arial"/>
        </w:rPr>
      </w:pPr>
    </w:p>
    <w:p w:rsidR="00635024" w:rsidRDefault="00635024" w:rsidP="00A57E16">
      <w:pPr>
        <w:spacing w:after="0" w:line="240" w:lineRule="auto"/>
        <w:rPr>
          <w:rFonts w:ascii="Arial" w:hAnsi="Arial" w:cs="Arial"/>
          <w:b/>
          <w:bCs/>
          <w:sz w:val="24"/>
          <w:lang w:val="en-GB"/>
        </w:rPr>
      </w:pPr>
    </w:p>
    <w:p w:rsidR="00A57E16" w:rsidRPr="00635024" w:rsidRDefault="00A57E16" w:rsidP="00A57E16">
      <w:pPr>
        <w:spacing w:after="0" w:line="240" w:lineRule="auto"/>
        <w:rPr>
          <w:rFonts w:cstheme="minorHAnsi"/>
          <w:b/>
          <w:bCs/>
          <w:sz w:val="24"/>
          <w:lang w:val="en-GB"/>
        </w:rPr>
      </w:pPr>
      <w:r w:rsidRPr="00635024">
        <w:rPr>
          <w:rFonts w:cstheme="minorHAnsi"/>
          <w:b/>
          <w:bCs/>
          <w:sz w:val="24"/>
          <w:lang w:val="en-GB"/>
        </w:rPr>
        <w:t xml:space="preserve">Principle Category Manager Fuel and Utilities </w:t>
      </w:r>
    </w:p>
    <w:p w:rsidR="00A57E16" w:rsidRPr="00635024" w:rsidRDefault="00A57E16" w:rsidP="00A57E16">
      <w:pPr>
        <w:spacing w:after="0" w:line="240" w:lineRule="auto"/>
        <w:rPr>
          <w:rFonts w:cstheme="minorHAnsi"/>
          <w:b/>
          <w:bCs/>
          <w:sz w:val="24"/>
          <w:lang w:val="en-GB"/>
        </w:rPr>
      </w:pPr>
    </w:p>
    <w:p w:rsidR="00A57E16" w:rsidRPr="00635024" w:rsidRDefault="00A57E16" w:rsidP="00A57E16">
      <w:pPr>
        <w:spacing w:after="0" w:line="240" w:lineRule="auto"/>
        <w:rPr>
          <w:rFonts w:cstheme="minorHAnsi"/>
          <w:b/>
          <w:bCs/>
          <w:sz w:val="24"/>
          <w:lang w:val="en-GB"/>
        </w:rPr>
      </w:pPr>
      <w:r w:rsidRPr="00635024">
        <w:rPr>
          <w:rFonts w:cstheme="minorHAnsi"/>
          <w:b/>
          <w:bCs/>
          <w:sz w:val="24"/>
          <w:lang w:val="en-GB"/>
        </w:rPr>
        <w:t xml:space="preserve">Niall Waters-Fuller </w:t>
      </w:r>
    </w:p>
    <w:p w:rsidR="00A57E16" w:rsidRPr="00635024" w:rsidRDefault="00A57E16" w:rsidP="00A57E16">
      <w:pPr>
        <w:spacing w:after="0" w:line="240" w:lineRule="auto"/>
        <w:rPr>
          <w:rFonts w:cstheme="minorHAnsi"/>
          <w:sz w:val="24"/>
          <w:lang w:val="en-GB"/>
        </w:rPr>
      </w:pPr>
      <w:r w:rsidRPr="00635024">
        <w:rPr>
          <w:rFonts w:cstheme="minorHAnsi"/>
          <w:b/>
          <w:bCs/>
          <w:sz w:val="24"/>
          <w:lang w:val="en-GB"/>
        </w:rPr>
        <w:t xml:space="preserve">Arriva plc | DD: (0) 7702 669662 | E: </w:t>
      </w:r>
      <w:hyperlink r:id="rId11" w:history="1">
        <w:r w:rsidRPr="00635024">
          <w:rPr>
            <w:rStyle w:val="Hyperlink"/>
            <w:rFonts w:cstheme="minorHAnsi"/>
            <w:sz w:val="24"/>
            <w:lang w:val="en-GB"/>
          </w:rPr>
          <w:t>watersfullern@arriva.co.uk</w:t>
        </w:r>
      </w:hyperlink>
    </w:p>
    <w:p w:rsidR="00A57E16" w:rsidRPr="00635024" w:rsidRDefault="00A57E16" w:rsidP="00A57E16">
      <w:pPr>
        <w:spacing w:after="0" w:line="240" w:lineRule="auto"/>
        <w:rPr>
          <w:rFonts w:cstheme="minorHAnsi"/>
          <w:sz w:val="24"/>
          <w:lang w:val="en-GB"/>
        </w:rPr>
      </w:pPr>
      <w:r w:rsidRPr="00635024">
        <w:rPr>
          <w:rFonts w:cstheme="minorHAnsi"/>
          <w:sz w:val="24"/>
          <w:lang w:val="en-GB"/>
        </w:rPr>
        <w:t xml:space="preserve">Arriva plc | Registered in England. Registered No: 347103 | </w:t>
      </w:r>
      <w:hyperlink r:id="rId12" w:history="1">
        <w:r w:rsidRPr="00635024">
          <w:rPr>
            <w:rStyle w:val="Hyperlink"/>
            <w:rFonts w:cstheme="minorHAnsi"/>
            <w:sz w:val="24"/>
            <w:lang w:val="en-GB"/>
          </w:rPr>
          <w:t>www.arriva.co.uk</w:t>
        </w:r>
      </w:hyperlink>
    </w:p>
    <w:p w:rsidR="00A57E16" w:rsidRPr="00635024" w:rsidRDefault="00A57E16" w:rsidP="00A57E16">
      <w:pPr>
        <w:spacing w:after="0" w:line="240" w:lineRule="auto"/>
        <w:rPr>
          <w:rFonts w:cstheme="minorHAnsi"/>
          <w:sz w:val="24"/>
          <w:lang w:val="en-GB"/>
        </w:rPr>
      </w:pPr>
      <w:r w:rsidRPr="00635024">
        <w:rPr>
          <w:rFonts w:cstheme="minorHAnsi"/>
          <w:sz w:val="24"/>
          <w:lang w:val="en-GB"/>
        </w:rPr>
        <w:t xml:space="preserve">Arriva, </w:t>
      </w:r>
      <w:proofErr w:type="spellStart"/>
      <w:r w:rsidRPr="00635024">
        <w:rPr>
          <w:rFonts w:cstheme="minorHAnsi"/>
          <w:sz w:val="24"/>
          <w:lang w:val="en-GB"/>
        </w:rPr>
        <w:t>Lacon</w:t>
      </w:r>
      <w:proofErr w:type="spellEnd"/>
      <w:r w:rsidRPr="00635024">
        <w:rPr>
          <w:rFonts w:cstheme="minorHAnsi"/>
          <w:sz w:val="24"/>
          <w:lang w:val="en-GB"/>
        </w:rPr>
        <w:t xml:space="preserve"> House, 6th Floor, 84 Theobalds Road, London WC1X 8NL</w:t>
      </w:r>
    </w:p>
    <w:p w:rsidR="0093083C" w:rsidRPr="00673EDB" w:rsidRDefault="0093083C" w:rsidP="00673EDB">
      <w:pPr>
        <w:spacing w:after="0" w:line="240" w:lineRule="auto"/>
        <w:rPr>
          <w:rFonts w:ascii="Arial" w:hAnsi="Arial" w:cs="Arial"/>
          <w:b/>
          <w:bCs/>
          <w:sz w:val="24"/>
          <w:lang w:val="en-GB"/>
        </w:rPr>
      </w:pPr>
    </w:p>
    <w:sectPr w:rsidR="0093083C" w:rsidRPr="00673EDB" w:rsidSect="005E1643">
      <w:headerReference w:type="default" r:id="rId13"/>
      <w:pgSz w:w="11907" w:h="16839" w:code="9"/>
      <w:pgMar w:top="3240" w:right="1440" w:bottom="18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520" w:rsidRDefault="00787520" w:rsidP="005E1643">
      <w:pPr>
        <w:spacing w:after="0" w:line="240" w:lineRule="auto"/>
      </w:pPr>
      <w:r>
        <w:separator/>
      </w:r>
    </w:p>
  </w:endnote>
  <w:endnote w:type="continuationSeparator" w:id="0">
    <w:p w:rsidR="00787520" w:rsidRDefault="00787520" w:rsidP="005E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Bookman Dem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520" w:rsidRDefault="00787520" w:rsidP="005E1643">
      <w:pPr>
        <w:spacing w:after="0" w:line="240" w:lineRule="auto"/>
      </w:pPr>
      <w:r>
        <w:separator/>
      </w:r>
    </w:p>
  </w:footnote>
  <w:footnote w:type="continuationSeparator" w:id="0">
    <w:p w:rsidR="00787520" w:rsidRDefault="00787520" w:rsidP="005E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43" w:rsidRDefault="005E1643">
    <w:pPr>
      <w:pStyle w:val="Header"/>
    </w:pPr>
    <w:r>
      <w:rPr>
        <w:noProof/>
      </w:rPr>
      <w:drawing>
        <wp:anchor distT="0" distB="0" distL="114300" distR="114300" simplePos="0" relativeHeight="251658240" behindDoc="1" locked="0" layoutInCell="1" allowOverlap="1" wp14:anchorId="49A415FD" wp14:editId="36EC614E">
          <wp:simplePos x="0" y="0"/>
          <wp:positionH relativeFrom="column">
            <wp:posOffset>-704850</wp:posOffset>
          </wp:positionH>
          <wp:positionV relativeFrom="paragraph">
            <wp:posOffset>-476250</wp:posOffset>
          </wp:positionV>
          <wp:extent cx="2111706" cy="10715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706" cy="1071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6D1"/>
    <w:multiLevelType w:val="hybridMultilevel"/>
    <w:tmpl w:val="1A9AF9BC"/>
    <w:lvl w:ilvl="0" w:tplc="3B327C2A">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EE1AE4"/>
    <w:multiLevelType w:val="multilevel"/>
    <w:tmpl w:val="D012C2BC"/>
    <w:lvl w:ilvl="0">
      <w:start w:val="1"/>
      <w:numFmt w:val="decimal"/>
      <w:pStyle w:val="Sch1styleclause"/>
      <w:lvlText w:val="%1."/>
      <w:lvlJc w:val="left"/>
      <w:pPr>
        <w:tabs>
          <w:tab w:val="num" w:pos="720"/>
        </w:tabs>
        <w:ind w:left="720" w:hanging="720"/>
      </w:pPr>
      <w:rPr>
        <w:rFonts w:ascii="Arial Bold" w:hAnsi="Arial Bold" w:hint="default"/>
        <w:b/>
        <w:i w:val="0"/>
        <w:caps/>
        <w:sz w:val="22"/>
        <w:u w:val="none"/>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u w:val="none"/>
      </w:rPr>
    </w:lvl>
    <w:lvl w:ilvl="2">
      <w:start w:val="1"/>
      <w:numFmt w:val="lowerLetter"/>
      <w:pStyle w:val="Sch1stylepara"/>
      <w:lvlText w:val="(%3)"/>
      <w:lvlJc w:val="left"/>
      <w:pPr>
        <w:tabs>
          <w:tab w:val="num" w:pos="2694"/>
        </w:tabs>
        <w:ind w:left="2694" w:hanging="567"/>
      </w:pPr>
      <w:rPr>
        <w:rFonts w:ascii="Arial" w:hAnsi="Arial" w:hint="default"/>
        <w:b w:val="0"/>
        <w:i w:val="0"/>
        <w:sz w:val="22"/>
      </w:rPr>
    </w:lvl>
    <w:lvl w:ilvl="3">
      <w:start w:val="1"/>
      <w:numFmt w:val="lowerRoman"/>
      <w:pStyle w:val="Sch1stylesubpara"/>
      <w:lvlText w:val="(%4)"/>
      <w:lvlJc w:val="left"/>
      <w:pPr>
        <w:tabs>
          <w:tab w:val="num" w:pos="2211"/>
        </w:tabs>
        <w:ind w:left="2211" w:hanging="680"/>
      </w:pPr>
      <w:rPr>
        <w:rFonts w:ascii="Arial" w:hAnsi="Arial" w:hint="default"/>
        <w:b w:val="0"/>
        <w:i w:val="0"/>
        <w:sz w:val="22"/>
      </w:rPr>
    </w:lvl>
    <w:lvl w:ilvl="4">
      <w:start w:val="1"/>
      <w:numFmt w:val="upperLetter"/>
      <w:lvlText w:val="(%5)"/>
      <w:lvlJc w:val="left"/>
      <w:pPr>
        <w:tabs>
          <w:tab w:val="num" w:pos="2880"/>
        </w:tabs>
        <w:ind w:left="2880" w:hanging="720"/>
      </w:pPr>
      <w:rPr>
        <w:rFonts w:ascii="ITC Bookman Demi" w:hAnsi="ITC Bookman Demi" w:hint="default"/>
        <w:b w:val="0"/>
        <w:i w:val="0"/>
        <w:sz w:val="22"/>
      </w:rPr>
    </w:lvl>
    <w:lvl w:ilvl="5">
      <w:start w:val="1"/>
      <w:numFmt w:val="decimal"/>
      <w:lvlText w:val="%6."/>
      <w:lvlJc w:val="left"/>
      <w:pPr>
        <w:tabs>
          <w:tab w:val="num" w:pos="3600"/>
        </w:tabs>
        <w:ind w:left="3600" w:hanging="720"/>
      </w:pPr>
      <w:rPr>
        <w:rFonts w:ascii="ITC Bookman Demi" w:hAnsi="ITC Bookman Demi"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ITC Bookman Demi" w:hAnsi="ITC Bookman Demi" w:hint="default"/>
        <w:b w:val="0"/>
        <w:i w:val="0"/>
        <w:sz w:val="22"/>
      </w:rPr>
    </w:lvl>
    <w:lvl w:ilvl="8">
      <w:start w:val="1"/>
      <w:numFmt w:val="decimal"/>
      <w:lvlText w:val="%9."/>
      <w:lvlJc w:val="left"/>
      <w:pPr>
        <w:tabs>
          <w:tab w:val="num" w:pos="5760"/>
        </w:tabs>
        <w:ind w:left="5760" w:hanging="720"/>
      </w:pPr>
      <w:rPr>
        <w:rFonts w:ascii="ITC Bookman Demi" w:hAnsi="ITC Bookman Demi" w:hint="default"/>
        <w:b w:val="0"/>
        <w:i w:val="0"/>
        <w:sz w:val="22"/>
      </w:rPr>
    </w:lvl>
  </w:abstractNum>
  <w:abstractNum w:abstractNumId="2" w15:restartNumberingAfterBreak="0">
    <w:nsid w:val="2DD86D38"/>
    <w:multiLevelType w:val="hybridMultilevel"/>
    <w:tmpl w:val="3A0650AE"/>
    <w:lvl w:ilvl="0" w:tplc="3A50741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B4419E"/>
    <w:multiLevelType w:val="multilevel"/>
    <w:tmpl w:val="AD6A39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554E74"/>
    <w:multiLevelType w:val="multilevel"/>
    <w:tmpl w:val="D31C53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EA6934"/>
    <w:multiLevelType w:val="hybridMultilevel"/>
    <w:tmpl w:val="77F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543EF"/>
    <w:multiLevelType w:val="hybridMultilevel"/>
    <w:tmpl w:val="30708EC2"/>
    <w:lvl w:ilvl="0" w:tplc="951CB916">
      <w:start w:val="1"/>
      <w:numFmt w:val="lowerLetter"/>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15:restartNumberingAfterBreak="0">
    <w:nsid w:val="621927F2"/>
    <w:multiLevelType w:val="hybridMultilevel"/>
    <w:tmpl w:val="60C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90BAF"/>
    <w:multiLevelType w:val="hybridMultilevel"/>
    <w:tmpl w:val="DB18B4E8"/>
    <w:lvl w:ilvl="0" w:tplc="AC62A024">
      <w:start w:val="1"/>
      <w:numFmt w:val="bullet"/>
      <w:lvlText w:val=""/>
      <w:lvlJc w:val="left"/>
      <w:pPr>
        <w:ind w:left="1080" w:hanging="360"/>
      </w:pPr>
      <w:rPr>
        <w:rFonts w:ascii="Symbol" w:hAnsi="Symbol" w:hint="default"/>
        <w:b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43"/>
    <w:rsid w:val="00116BF5"/>
    <w:rsid w:val="00271C35"/>
    <w:rsid w:val="002E3B78"/>
    <w:rsid w:val="003445AB"/>
    <w:rsid w:val="00344A4D"/>
    <w:rsid w:val="00546E58"/>
    <w:rsid w:val="005D166A"/>
    <w:rsid w:val="005E1643"/>
    <w:rsid w:val="00635024"/>
    <w:rsid w:val="00673EDB"/>
    <w:rsid w:val="00787520"/>
    <w:rsid w:val="007F2094"/>
    <w:rsid w:val="00821E59"/>
    <w:rsid w:val="008E3F31"/>
    <w:rsid w:val="0093083C"/>
    <w:rsid w:val="00A57E16"/>
    <w:rsid w:val="00C839FB"/>
    <w:rsid w:val="00CA2D9F"/>
    <w:rsid w:val="00D05FA8"/>
    <w:rsid w:val="00F02EAB"/>
    <w:rsid w:val="00FE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DF72"/>
  <w15:docId w15:val="{A7BEFF12-4754-4478-8294-310C4FB0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
    <w:basedOn w:val="Normal"/>
    <w:next w:val="Normal"/>
    <w:link w:val="Heading1Char"/>
    <w:qFormat/>
    <w:rsid w:val="00344A4D"/>
    <w:pPr>
      <w:keepNext/>
      <w:spacing w:before="240" w:after="60" w:line="240" w:lineRule="auto"/>
      <w:outlineLvl w:val="0"/>
    </w:pPr>
    <w:rPr>
      <w:rFonts w:ascii="Arial" w:eastAsia="Times New Roman" w:hAnsi="Arial" w:cs="Arial"/>
      <w:b/>
      <w:bCs/>
      <w:kern w:val="32"/>
      <w:sz w:val="32"/>
      <w:szCs w:val="3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43"/>
  </w:style>
  <w:style w:type="paragraph" w:styleId="Footer">
    <w:name w:val="footer"/>
    <w:basedOn w:val="Normal"/>
    <w:link w:val="FooterChar"/>
    <w:uiPriority w:val="99"/>
    <w:unhideWhenUsed/>
    <w:rsid w:val="005E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43"/>
  </w:style>
  <w:style w:type="paragraph" w:styleId="BalloonText">
    <w:name w:val="Balloon Text"/>
    <w:basedOn w:val="Normal"/>
    <w:link w:val="BalloonTextChar"/>
    <w:uiPriority w:val="99"/>
    <w:semiHidden/>
    <w:unhideWhenUsed/>
    <w:rsid w:val="005E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43"/>
    <w:rPr>
      <w:rFonts w:ascii="Tahoma" w:hAnsi="Tahoma" w:cs="Tahoma"/>
      <w:sz w:val="16"/>
      <w:szCs w:val="16"/>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344A4D"/>
    <w:rPr>
      <w:rFonts w:ascii="Arial" w:eastAsia="Times New Roman" w:hAnsi="Arial" w:cs="Arial"/>
      <w:b/>
      <w:bCs/>
      <w:kern w:val="32"/>
      <w:sz w:val="32"/>
      <w:szCs w:val="32"/>
      <w:lang w:val="it-IT" w:eastAsia="it-IT"/>
    </w:rPr>
  </w:style>
  <w:style w:type="paragraph" w:styleId="ListParagraph">
    <w:name w:val="List Paragraph"/>
    <w:basedOn w:val="Normal"/>
    <w:uiPriority w:val="34"/>
    <w:qFormat/>
    <w:rsid w:val="00344A4D"/>
    <w:pPr>
      <w:ind w:left="720"/>
      <w:contextualSpacing/>
    </w:pPr>
    <w:rPr>
      <w:rFonts w:ascii="Calibri" w:eastAsia="Calibri" w:hAnsi="Calibri" w:cs="Times New Roman"/>
      <w:lang w:val="de-DE"/>
    </w:rPr>
  </w:style>
  <w:style w:type="paragraph" w:styleId="NormalWeb">
    <w:name w:val="Normal (Web)"/>
    <w:basedOn w:val="Normal"/>
    <w:uiPriority w:val="99"/>
    <w:semiHidden/>
    <w:unhideWhenUsed/>
    <w:rsid w:val="00344A4D"/>
    <w:pPr>
      <w:spacing w:after="150" w:line="240" w:lineRule="auto"/>
    </w:pPr>
    <w:rPr>
      <w:rFonts w:ascii="Times New Roman" w:eastAsia="Times New Roman" w:hAnsi="Times New Roman" w:cs="Times New Roman"/>
      <w:color w:val="000000"/>
      <w:sz w:val="24"/>
      <w:szCs w:val="24"/>
    </w:rPr>
  </w:style>
  <w:style w:type="character" w:styleId="Hyperlink">
    <w:name w:val="Hyperlink"/>
    <w:rsid w:val="00344A4D"/>
    <w:rPr>
      <w:rFonts w:cs="Times New Roman"/>
      <w:color w:val="0000FF"/>
      <w:u w:val="single"/>
    </w:rPr>
  </w:style>
  <w:style w:type="paragraph" w:styleId="BodyTextIndent">
    <w:name w:val="Body Text Indent"/>
    <w:basedOn w:val="Normal"/>
    <w:link w:val="BodyTextIndentChar"/>
    <w:uiPriority w:val="99"/>
    <w:unhideWhenUsed/>
    <w:rsid w:val="00344A4D"/>
    <w:pPr>
      <w:spacing w:after="120"/>
      <w:ind w:left="283"/>
    </w:pPr>
    <w:rPr>
      <w:rFonts w:ascii="Calibri" w:eastAsia="Calibri" w:hAnsi="Calibri" w:cs="Times New Roman"/>
      <w:lang w:val="de-DE"/>
    </w:rPr>
  </w:style>
  <w:style w:type="character" w:customStyle="1" w:styleId="BodyTextIndentChar">
    <w:name w:val="Body Text Indent Char"/>
    <w:basedOn w:val="DefaultParagraphFont"/>
    <w:link w:val="BodyTextIndent"/>
    <w:uiPriority w:val="99"/>
    <w:rsid w:val="00344A4D"/>
    <w:rPr>
      <w:rFonts w:ascii="Calibri" w:eastAsia="Calibri" w:hAnsi="Calibri" w:cs="Times New Roman"/>
      <w:lang w:val="de-DE"/>
    </w:rPr>
  </w:style>
  <w:style w:type="table" w:styleId="TableGrid">
    <w:name w:val="Table Grid"/>
    <w:basedOn w:val="TableNormal"/>
    <w:uiPriority w:val="59"/>
    <w:rsid w:val="00344A4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344A4D"/>
    <w:pPr>
      <w:numPr>
        <w:numId w:val="4"/>
      </w:numPr>
      <w:spacing w:after="0" w:line="240" w:lineRule="auto"/>
    </w:pPr>
    <w:rPr>
      <w:rFonts w:ascii="Arial" w:eastAsia="Times New Roman" w:hAnsi="Arial" w:cs="Arial"/>
      <w:szCs w:val="20"/>
      <w:lang w:val="en-GB"/>
    </w:rPr>
  </w:style>
  <w:style w:type="paragraph" w:customStyle="1" w:styleId="Sch1stylesubclause">
    <w:name w:val="Sch  (1style) sub clause"/>
    <w:basedOn w:val="Normal"/>
    <w:rsid w:val="00344A4D"/>
    <w:pPr>
      <w:numPr>
        <w:ilvl w:val="1"/>
        <w:numId w:val="4"/>
      </w:numPr>
      <w:spacing w:after="0" w:line="240" w:lineRule="auto"/>
    </w:pPr>
    <w:rPr>
      <w:rFonts w:ascii="Arial" w:eastAsia="Times New Roman" w:hAnsi="Arial" w:cs="Arial"/>
      <w:szCs w:val="20"/>
      <w:lang w:val="en-GB"/>
    </w:rPr>
  </w:style>
  <w:style w:type="paragraph" w:customStyle="1" w:styleId="Sch1stylepara">
    <w:name w:val="Sch (1style) para"/>
    <w:basedOn w:val="Normal"/>
    <w:rsid w:val="00344A4D"/>
    <w:pPr>
      <w:numPr>
        <w:ilvl w:val="2"/>
        <w:numId w:val="4"/>
      </w:numPr>
      <w:spacing w:after="0" w:line="240" w:lineRule="auto"/>
    </w:pPr>
    <w:rPr>
      <w:rFonts w:ascii="Arial" w:eastAsia="Times New Roman" w:hAnsi="Arial" w:cs="Arial"/>
      <w:szCs w:val="20"/>
      <w:lang w:val="en-GB"/>
    </w:rPr>
  </w:style>
  <w:style w:type="paragraph" w:customStyle="1" w:styleId="Sch1stylesubpara">
    <w:name w:val="Sch (1style) sub para"/>
    <w:basedOn w:val="Normal"/>
    <w:rsid w:val="00344A4D"/>
    <w:pPr>
      <w:numPr>
        <w:ilvl w:val="3"/>
        <w:numId w:val="4"/>
      </w:numPr>
      <w:spacing w:after="0" w:line="240" w:lineRule="auto"/>
    </w:pPr>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a01.safelinks.protection.outlook.com/?url=http%3A%2F%2Fwww.arriva.co.uk%2F&amp;data=02%7C01%7Cvladimir.sarac%40arriva.rs%7C73e3254d4d5043666bcf08d6a323a4a8%7C694828a9151a45e19a5fd75029018591%7C0%7C0%7C636875770808178722&amp;sdata=7YP9K2dwnjHP6YSRuOqBoDwum8u6Y9vLoaMkuQgHfMM%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ersfullern@arriv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iva.rs/" TargetMode="External"/><Relationship Id="rId4" Type="http://schemas.openxmlformats.org/officeDocument/2006/relationships/settings" Target="settings.xml"/><Relationship Id="rId9" Type="http://schemas.openxmlformats.org/officeDocument/2006/relationships/hyperlink" Target="mailto:vladimir.sarac@arriva.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9079-251B-4632-9B4E-04D3C283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Vladimir Šarac</cp:lastModifiedBy>
  <cp:revision>4</cp:revision>
  <dcterms:created xsi:type="dcterms:W3CDTF">2019-03-12T08:12:00Z</dcterms:created>
  <dcterms:modified xsi:type="dcterms:W3CDTF">2019-03-12T11:35:00Z</dcterms:modified>
</cp:coreProperties>
</file>